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2B" w:rsidRDefault="00582D2B" w:rsidP="00447A10">
      <w:pPr>
        <w:pStyle w:val="a3"/>
        <w:jc w:val="center"/>
        <w:rPr>
          <w:b/>
        </w:rPr>
      </w:pPr>
    </w:p>
    <w:p w:rsidR="00447A10" w:rsidRPr="00447A10" w:rsidRDefault="00447A10" w:rsidP="00447A10">
      <w:pPr>
        <w:pStyle w:val="a3"/>
        <w:jc w:val="center"/>
        <w:rPr>
          <w:b/>
        </w:rPr>
      </w:pPr>
      <w:r w:rsidRPr="00447A10">
        <w:rPr>
          <w:b/>
        </w:rPr>
        <w:t>Введение</w:t>
      </w:r>
    </w:p>
    <w:p w:rsidR="00447A10" w:rsidRDefault="00447A10" w:rsidP="00447A10">
      <w:pPr>
        <w:pStyle w:val="a3"/>
      </w:pPr>
      <w:r>
        <w:t>Общие принципы планирования аудиторской проверки изложены в стандарте аудиторской деятельности «Планирование аудита» (одобрен Комиссией по аудиторской деятельности при Президенте РФ 25.12.96, протокол № 6).</w:t>
      </w:r>
    </w:p>
    <w:p w:rsidR="00447A10" w:rsidRDefault="00447A10" w:rsidP="00447A10">
      <w:pPr>
        <w:pStyle w:val="a3"/>
      </w:pPr>
      <w:r>
        <w:t>Целью этого стандарта является установление норм, применяемых аудиторской фирмой или аудитором, работающим самостоятельно в качестве индивидуального предпринимателя, при планировании аудита бухгалтерской отчетности экономического субъекта.</w:t>
      </w:r>
    </w:p>
    <w:p w:rsidR="00447A10" w:rsidRDefault="00447A10" w:rsidP="00447A10">
      <w:pPr>
        <w:pStyle w:val="a3"/>
      </w:pPr>
      <w:r>
        <w:t xml:space="preserve">Задачами правила (стандарта) являются: описание предварительного этапа планирования аудита, формулирование принципов и описание порядка подготовки </w:t>
      </w:r>
      <w:r w:rsidRPr="00447A10">
        <w:rPr>
          <w:b/>
        </w:rPr>
        <w:t>общего плана</w:t>
      </w:r>
      <w:r>
        <w:t xml:space="preserve"> и программы аудита.</w:t>
      </w:r>
    </w:p>
    <w:p w:rsidR="00447A10" w:rsidRDefault="00447A10" w:rsidP="00447A10">
      <w:pPr>
        <w:pStyle w:val="a3"/>
      </w:pPr>
      <w:r>
        <w:t>Планирование, являясь начальным этапом проведения аудиторской проверки, состоит в разработке аудиторской организацией общего плана проверки с указанием ожидаемого объема, графиков и сроков ее проведения, а также в  разработке аудиторской программы, определяющей объем, виды и последовательность осуществления аудиторских процедур, необходимых для формирования аудиторской организацией объективного и обоснованного мнения о бухгалтерской отчетности организации.</w:t>
      </w:r>
    </w:p>
    <w:p w:rsidR="00447A10" w:rsidRDefault="00447A10" w:rsidP="00447A10">
      <w:pPr>
        <w:pStyle w:val="a3"/>
      </w:pPr>
      <w:r>
        <w:t>При планировании аудиторской организации следует выделить основные этапы: предварительный, подготовка и составление общего плана аудиторской проверки; подготовка и составление программы аудиторской проверки.</w:t>
      </w:r>
    </w:p>
    <w:p w:rsidR="00447A10" w:rsidRDefault="00447A10" w:rsidP="00447A10">
      <w:pPr>
        <w:pStyle w:val="1"/>
        <w:numPr>
          <w:ilvl w:val="0"/>
          <w:numId w:val="0"/>
        </w:numPr>
        <w:spacing w:before="240"/>
      </w:pPr>
      <w:r>
        <w:t>Общий план проведения аудиторской проверки</w:t>
      </w:r>
    </w:p>
    <w:p w:rsidR="00447A10" w:rsidRDefault="00447A10" w:rsidP="00447A10">
      <w:pPr>
        <w:pStyle w:val="a3"/>
      </w:pPr>
      <w:r>
        <w:t xml:space="preserve">После завершения анализа рисков аудиторы, основываясь на предварительных данных об экономическом субъекте и результатах проведенных аналитических процедур, могут приступить к разработке общего плана и программы аудиторской проверки. Созданный непосредственно перед проведением проверки план определяет последовательность действий аудитора, т.е. по каким направлениям и с какой интенсивностью будет проводиться проверка. Для лучшего обзора и рациональной постановки задач могут использоваться графики, диаграммы и компьютерные системы. </w:t>
      </w:r>
    </w:p>
    <w:p w:rsidR="00447A10" w:rsidRDefault="00447A10" w:rsidP="00447A10">
      <w:pPr>
        <w:pStyle w:val="a3"/>
      </w:pPr>
      <w:r>
        <w:t>Составляя общий план и программу аудита, аудиторской организации следует учитывать степень автоматизации обработки учетной информации, что также позволит точнее определить объем и характер аудиторских процедур. При проведении общего планирования большое значение придается профессиональным качествам аудиторов. Им необходимо так организовать свои действия, чтобы произвести оценку используемой на предприятии системы учета и внутреннего контроля с учетом принципа существенности и экономичности проверки.</w:t>
      </w:r>
    </w:p>
    <w:p w:rsidR="00447A10" w:rsidRDefault="00447A10" w:rsidP="00447A10">
      <w:pPr>
        <w:pStyle w:val="a3"/>
      </w:pPr>
      <w:r>
        <w:t>В общем плане необходимо предусмотреть сроки проведения аудита и составить график его проведения, подготовки отчета (письменной информации руководству экономического субъекта) и аудиторского заключения. В процессе планирования необходимо учесть: реальные трудозатраты; уровень существенности; проведенные оценки рисков аудиторской проверки.</w:t>
      </w:r>
    </w:p>
    <w:p w:rsidR="00447A10" w:rsidRDefault="00447A10" w:rsidP="00447A10">
      <w:pPr>
        <w:pStyle w:val="a3"/>
      </w:pPr>
      <w:r>
        <w:t>В общем плане аудиторская организация определяет способ проведения аудиторской проверки на основании результатов предварительного анализа, оценки надежности системы внутреннего контроля и рисков аудита. В случае решения провести выборочную проверку аудитор формирует аудиторскую выборку. В общем плане рекомендуется предусмотреть [1]:</w:t>
      </w:r>
    </w:p>
    <w:p w:rsidR="00447A10" w:rsidRDefault="00447A10" w:rsidP="00447A10">
      <w:pPr>
        <w:pStyle w:val="a3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>
        <w:t>какие конкретные области надо изучить, чтобы аудит был объективен;</w:t>
      </w:r>
    </w:p>
    <w:p w:rsidR="00447A10" w:rsidRDefault="00447A10" w:rsidP="00447A10">
      <w:pPr>
        <w:pStyle w:val="a3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>
        <w:t>какие существенные моменты следует охватить;</w:t>
      </w:r>
    </w:p>
    <w:p w:rsidR="00447A10" w:rsidRDefault="00447A10" w:rsidP="00447A10">
      <w:pPr>
        <w:pStyle w:val="a3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>
        <w:t>какие выборочные планы надо разработать;</w:t>
      </w:r>
    </w:p>
    <w:p w:rsidR="00447A10" w:rsidRDefault="00447A10" w:rsidP="00447A10">
      <w:pPr>
        <w:pStyle w:val="a3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>
        <w:t>формирование аудиторской группы, ее численность и квалификацию специалистов;</w:t>
      </w:r>
    </w:p>
    <w:p w:rsidR="00447A10" w:rsidRDefault="00447A10" w:rsidP="00447A10">
      <w:pPr>
        <w:pStyle w:val="a3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>
        <w:t>распределение аудиторов в соответствии с их профессиональными качествами и должностными уровнями по конкретным участкам проверки;</w:t>
      </w:r>
    </w:p>
    <w:p w:rsidR="00447A10" w:rsidRDefault="00447A10" w:rsidP="00447A10">
      <w:pPr>
        <w:pStyle w:val="a3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>
        <w:t>с какими стандартами, процедурами или документами необходимо ознакомить рабочую группу;</w:t>
      </w:r>
    </w:p>
    <w:p w:rsidR="00447A10" w:rsidRDefault="00447A10" w:rsidP="00447A10">
      <w:pPr>
        <w:pStyle w:val="a3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>
        <w:t>бюджет рабочего времени для каждого этапа проверки;</w:t>
      </w:r>
    </w:p>
    <w:p w:rsidR="00447A10" w:rsidRDefault="00447A10" w:rsidP="00447A10">
      <w:pPr>
        <w:pStyle w:val="a3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>
        <w:t>предполагаемые сроки работы группы;</w:t>
      </w:r>
    </w:p>
    <w:p w:rsidR="00447A10" w:rsidRDefault="00447A10" w:rsidP="00447A10">
      <w:pPr>
        <w:pStyle w:val="a3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>
        <w:t>инструктирование всех членов группы об их обязанностях, ознакомление их с финансово-хозяйственной деятельностью экономического субъекта, с положениями общего плана аудита;</w:t>
      </w:r>
    </w:p>
    <w:p w:rsidR="00447A10" w:rsidRDefault="00447A10" w:rsidP="00447A10">
      <w:pPr>
        <w:pStyle w:val="a3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>
        <w:t>контроль руководителя за выполнением плана и качеством работы ассистентов аудитора, за ведением ими рабочей документации.</w:t>
      </w:r>
    </w:p>
    <w:p w:rsidR="00447A10" w:rsidRDefault="00447A10" w:rsidP="00447A10">
      <w:pPr>
        <w:pStyle w:val="a3"/>
      </w:pPr>
      <w:r>
        <w:t>Аудиторская организация определяет в общем плане необходимость привлечения экспертов в процессе проведения проверки и роль внутреннего аудита.</w:t>
      </w:r>
    </w:p>
    <w:p w:rsidR="00447A10" w:rsidRDefault="00447A10" w:rsidP="00447A10">
      <w:pPr>
        <w:pStyle w:val="a3"/>
      </w:pPr>
      <w:r>
        <w:t>Общий план проверки оформляется в виде таблицы (табл. 1).</w:t>
      </w:r>
    </w:p>
    <w:p w:rsidR="00447A10" w:rsidRDefault="00447A10" w:rsidP="00447A10">
      <w:pPr>
        <w:pStyle w:val="a3"/>
        <w:ind w:firstLine="0"/>
        <w:jc w:val="center"/>
        <w:rPr>
          <w:b/>
        </w:rPr>
      </w:pPr>
      <w:r>
        <w:rPr>
          <w:rFonts w:ascii="Arial Narrow" w:hAnsi="Arial Narrow"/>
          <w:b/>
        </w:rPr>
        <w:t>Таблица 1. Общий план аудиторской проверки</w:t>
      </w:r>
      <w:r>
        <w:rPr>
          <w:b/>
        </w:rPr>
        <w:t>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2942"/>
      </w:tblGrid>
      <w:tr w:rsidR="00447A10"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Проверяемая организация</w:t>
            </w:r>
          </w:p>
        </w:tc>
        <w:tc>
          <w:tcPr>
            <w:tcW w:w="2942" w:type="dxa"/>
            <w:tcBorders>
              <w:left w:val="nil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</w:p>
        </w:tc>
      </w:tr>
      <w:tr w:rsidR="00447A10"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Период аудиторской проверки</w:t>
            </w:r>
          </w:p>
        </w:tc>
        <w:tc>
          <w:tcPr>
            <w:tcW w:w="2942" w:type="dxa"/>
            <w:tcBorders>
              <w:left w:val="nil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</w:p>
        </w:tc>
      </w:tr>
      <w:tr w:rsidR="00447A10"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Количество человеко-часов</w:t>
            </w:r>
          </w:p>
        </w:tc>
        <w:tc>
          <w:tcPr>
            <w:tcW w:w="2942" w:type="dxa"/>
            <w:tcBorders>
              <w:left w:val="nil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</w:p>
        </w:tc>
      </w:tr>
      <w:tr w:rsidR="00447A10"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Руководитель аудиторской группы</w:t>
            </w:r>
          </w:p>
        </w:tc>
        <w:tc>
          <w:tcPr>
            <w:tcW w:w="2942" w:type="dxa"/>
            <w:tcBorders>
              <w:left w:val="nil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</w:p>
        </w:tc>
      </w:tr>
      <w:tr w:rsidR="00447A10"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Состав аудиторской группы </w:t>
            </w:r>
          </w:p>
        </w:tc>
        <w:tc>
          <w:tcPr>
            <w:tcW w:w="2942" w:type="dxa"/>
            <w:tcBorders>
              <w:left w:val="nil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</w:p>
        </w:tc>
      </w:tr>
      <w:tr w:rsidR="00447A10"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Планируемый аудиторский риск</w:t>
            </w:r>
          </w:p>
        </w:tc>
        <w:tc>
          <w:tcPr>
            <w:tcW w:w="2942" w:type="dxa"/>
            <w:tcBorders>
              <w:left w:val="nil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</w:p>
        </w:tc>
      </w:tr>
      <w:tr w:rsidR="00447A10"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Планируемый уровень существенности</w:t>
            </w:r>
          </w:p>
        </w:tc>
        <w:tc>
          <w:tcPr>
            <w:tcW w:w="2942" w:type="dxa"/>
            <w:tcBorders>
              <w:left w:val="nil"/>
            </w:tcBorders>
          </w:tcPr>
          <w:p w:rsidR="00447A10" w:rsidRDefault="00447A10" w:rsidP="00E37FA5">
            <w:pPr>
              <w:pStyle w:val="a3"/>
              <w:spacing w:line="240" w:lineRule="auto"/>
              <w:ind w:firstLine="0"/>
              <w:rPr>
                <w:rFonts w:ascii="Arial Narrow" w:hAnsi="Arial Narrow"/>
                <w:sz w:val="24"/>
              </w:rPr>
            </w:pPr>
          </w:p>
        </w:tc>
      </w:tr>
    </w:tbl>
    <w:p w:rsidR="00447A10" w:rsidRDefault="00447A10" w:rsidP="00447A10">
      <w:pPr>
        <w:pStyle w:val="a3"/>
        <w:ind w:firstLine="0"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447A10">
        <w:tc>
          <w:tcPr>
            <w:tcW w:w="1970" w:type="dxa"/>
          </w:tcPr>
          <w:p w:rsidR="00447A10" w:rsidRDefault="00447A10" w:rsidP="00E37FA5">
            <w:pPr>
              <w:pStyle w:val="a3"/>
              <w:suppressAutoHyphens/>
              <w:spacing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№ п/п</w:t>
            </w:r>
          </w:p>
        </w:tc>
        <w:tc>
          <w:tcPr>
            <w:tcW w:w="1970" w:type="dxa"/>
          </w:tcPr>
          <w:p w:rsidR="00447A10" w:rsidRDefault="00447A10" w:rsidP="00E37FA5">
            <w:pPr>
              <w:pStyle w:val="a3"/>
              <w:suppressAutoHyphens/>
              <w:spacing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Планируемые виды работ</w:t>
            </w:r>
          </w:p>
        </w:tc>
        <w:tc>
          <w:tcPr>
            <w:tcW w:w="1970" w:type="dxa"/>
          </w:tcPr>
          <w:p w:rsidR="00447A10" w:rsidRDefault="00447A10" w:rsidP="00E37FA5">
            <w:pPr>
              <w:pStyle w:val="a3"/>
              <w:suppressAutoHyphens/>
              <w:spacing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Период проведения</w:t>
            </w:r>
          </w:p>
        </w:tc>
        <w:tc>
          <w:tcPr>
            <w:tcW w:w="1970" w:type="dxa"/>
          </w:tcPr>
          <w:p w:rsidR="00447A10" w:rsidRDefault="00447A10" w:rsidP="00E37FA5">
            <w:pPr>
              <w:pStyle w:val="a3"/>
              <w:suppressAutoHyphens/>
              <w:spacing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Исполнитель</w:t>
            </w:r>
          </w:p>
        </w:tc>
        <w:tc>
          <w:tcPr>
            <w:tcW w:w="1970" w:type="dxa"/>
          </w:tcPr>
          <w:p w:rsidR="00447A10" w:rsidRDefault="00447A10" w:rsidP="00E37FA5">
            <w:pPr>
              <w:pStyle w:val="a3"/>
              <w:suppressAutoHyphens/>
              <w:spacing w:line="240" w:lineRule="auto"/>
              <w:ind w:firstLine="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Примечания</w:t>
            </w:r>
          </w:p>
        </w:tc>
      </w:tr>
    </w:tbl>
    <w:p w:rsidR="00447A10" w:rsidRDefault="005402BB" w:rsidP="00447A10">
      <w:pPr>
        <w:pStyle w:val="a3"/>
        <w:ind w:firstLine="0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pict>
          <v:line id="_x0000_s1026" style="position:absolute;left:0;text-align:left;z-index:251657728;mso-position-horizontal-relative:text;mso-position-vertical-relative:text" from="-6.3pt,14.35pt" to="490.5pt,14.35pt" o:allowincell="f"/>
        </w:pict>
      </w:r>
    </w:p>
    <w:p w:rsidR="00447A10" w:rsidRDefault="00447A10" w:rsidP="00447A10">
      <w:pPr>
        <w:pStyle w:val="a3"/>
        <w:ind w:firstLine="0"/>
        <w:rPr>
          <w:rFonts w:ascii="Arial Narrow" w:hAnsi="Arial Narrow"/>
          <w:sz w:val="24"/>
        </w:rPr>
      </w:pPr>
    </w:p>
    <w:p w:rsidR="00447A10" w:rsidRDefault="00447A10" w:rsidP="00447A10">
      <w:pPr>
        <w:pStyle w:val="a3"/>
        <w:ind w:firstLine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Руководитель аудиторской организации:</w:t>
      </w:r>
    </w:p>
    <w:p w:rsidR="00447A10" w:rsidRDefault="00447A10" w:rsidP="00447A10">
      <w:pPr>
        <w:pStyle w:val="a3"/>
        <w:ind w:firstLine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Руководитель аудиторской группы:</w:t>
      </w:r>
    </w:p>
    <w:p w:rsidR="00447A10" w:rsidRDefault="00447A10" w:rsidP="00447A10">
      <w:pPr>
        <w:pStyle w:val="a3"/>
      </w:pPr>
      <w:r>
        <w:t>Общий перечень объектов проверки (планируемых видов работ) при составлении общего плана аудиторской проверки может иметь следующий вид: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учредительные и другие общие документы организации (устав, лицензии, приказы, распоряжения, служебные записки, штатное расписание и т.п.);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учетная политика предприятия;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основные средства;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нематериальные активы;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производственные запасы;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расчеты по оплате труда;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затраты на производство;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готовая продукция, товары и реализация;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денежные средства;</w:t>
      </w:r>
    </w:p>
    <w:p w:rsidR="00447A10" w:rsidRDefault="00447A10" w:rsidP="00447A10">
      <w:pPr>
        <w:pStyle w:val="a3"/>
        <w:numPr>
          <w:ilvl w:val="0"/>
          <w:numId w:val="2"/>
        </w:numPr>
        <w:spacing w:after="120" w:line="240" w:lineRule="auto"/>
        <w:ind w:left="357" w:hanging="357"/>
      </w:pPr>
      <w:r>
        <w:t>расчеты (с покупателями, с поставщиками, с бюджетом и внебюджетными фондами, с прочими дебиторами и кредиторами);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финансовые результаты и использование прибыли;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капитал и резервы;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кредиты и финансирование;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учет по забалансовым счетам;</w:t>
      </w:r>
    </w:p>
    <w:p w:rsidR="00447A10" w:rsidRDefault="00447A10" w:rsidP="00447A10">
      <w:pPr>
        <w:pStyle w:val="a3"/>
        <w:numPr>
          <w:ilvl w:val="0"/>
          <w:numId w:val="2"/>
        </w:numPr>
      </w:pPr>
      <w:r>
        <w:t>бухгалтерская отчетность и приложения</w:t>
      </w:r>
    </w:p>
    <w:p w:rsidR="00447A10" w:rsidRDefault="00447A10" w:rsidP="00447A10">
      <w:pPr>
        <w:pStyle w:val="a3"/>
      </w:pPr>
      <w:r>
        <w:t>Из-за влияния непредвиденных факторов на проверяемые элементы даже хорошо составленный план должен содержать различные альтернативы, которые могут быть определены лишь при наличии информации о реальном положении дел в проверяемой компании.</w:t>
      </w:r>
    </w:p>
    <w:p w:rsidR="00447A10" w:rsidRDefault="00447A10" w:rsidP="00447A10">
      <w:pPr>
        <w:pStyle w:val="a3"/>
        <w:jc w:val="center"/>
      </w:pPr>
      <w:r w:rsidRPr="00447A10">
        <w:rPr>
          <w:b/>
        </w:rPr>
        <w:t>Заключение</w:t>
      </w:r>
    </w:p>
    <w:p w:rsidR="00447A10" w:rsidRDefault="00447A10" w:rsidP="00447A10">
      <w:pPr>
        <w:pStyle w:val="a3"/>
      </w:pPr>
      <w:r>
        <w:t>На основании предварительных данных и результатах проведенных аналитических процедур разрабатывается общий план и программа аудита.</w:t>
      </w:r>
    </w:p>
    <w:p w:rsidR="00447A10" w:rsidRDefault="00447A10" w:rsidP="00447A10">
      <w:pPr>
        <w:pStyle w:val="a3"/>
      </w:pPr>
      <w:r>
        <w:t>Общий план должен служить руководством в осуществлении программы аудита.</w:t>
      </w:r>
    </w:p>
    <w:p w:rsidR="00447A10" w:rsidRDefault="00447A10" w:rsidP="00447A10">
      <w:pPr>
        <w:pStyle w:val="a3"/>
      </w:pPr>
      <w:r>
        <w:t xml:space="preserve"> В процессе проведения аудиторской проверки у аудиторской организации могут возникнуть основания для пересмотра отдельных положений общего плана.</w:t>
      </w:r>
    </w:p>
    <w:p w:rsidR="00447A10" w:rsidRDefault="00447A10" w:rsidP="00447A10">
      <w:pPr>
        <w:pStyle w:val="a3"/>
      </w:pPr>
      <w:r>
        <w:t xml:space="preserve">В общем плане предусматриваются сроки проведения аудиторской проверки, график ее проведения, подготовки отчета и аудиторского заключения. В общем плане определяется способ проведения аудита на основании результатов предварительного анализа, оценки надежности системы внутреннего контроля и рисков аудита. </w:t>
      </w:r>
    </w:p>
    <w:p w:rsidR="00E37FA5" w:rsidRPr="00E37FA5" w:rsidRDefault="00E37FA5" w:rsidP="00E37FA5">
      <w:pPr>
        <w:pStyle w:val="1"/>
        <w:numPr>
          <w:ilvl w:val="0"/>
          <w:numId w:val="0"/>
        </w:numPr>
        <w:rPr>
          <w:sz w:val="16"/>
          <w:szCs w:val="16"/>
        </w:rPr>
      </w:pPr>
      <w:r w:rsidRPr="00E37FA5">
        <w:rPr>
          <w:sz w:val="16"/>
          <w:szCs w:val="16"/>
        </w:rPr>
        <w:t>Список литературы</w:t>
      </w:r>
    </w:p>
    <w:p w:rsidR="00E37FA5" w:rsidRPr="00E37FA5" w:rsidRDefault="00E37FA5" w:rsidP="00E37FA5">
      <w:pPr>
        <w:rPr>
          <w:sz w:val="16"/>
          <w:szCs w:val="16"/>
        </w:rPr>
      </w:pPr>
    </w:p>
    <w:p w:rsidR="00E37FA5" w:rsidRPr="00E37FA5" w:rsidRDefault="00E37FA5" w:rsidP="00E37FA5">
      <w:pPr>
        <w:pStyle w:val="a3"/>
        <w:numPr>
          <w:ilvl w:val="0"/>
          <w:numId w:val="4"/>
        </w:numPr>
        <w:rPr>
          <w:sz w:val="16"/>
          <w:szCs w:val="16"/>
        </w:rPr>
      </w:pPr>
      <w:r w:rsidRPr="00E37FA5">
        <w:rPr>
          <w:b/>
          <w:sz w:val="16"/>
          <w:szCs w:val="16"/>
        </w:rPr>
        <w:t>Аудит</w:t>
      </w:r>
      <w:r w:rsidRPr="00E37FA5">
        <w:rPr>
          <w:sz w:val="16"/>
          <w:szCs w:val="16"/>
        </w:rPr>
        <w:t>: Учебник для вузов/Подольский В.И., Поляк Г.Б., Савин А.А. и др.; Под ред. проф. Подольского В.И. – 2-е изд., перераб. и доп., - М.: ЮНИТИ-ДАНА, 2001. – 665 с.</w:t>
      </w:r>
    </w:p>
    <w:p w:rsidR="00E37FA5" w:rsidRPr="00E37FA5" w:rsidRDefault="00E37FA5" w:rsidP="00E37FA5">
      <w:pPr>
        <w:pStyle w:val="a3"/>
        <w:ind w:firstLine="0"/>
        <w:rPr>
          <w:sz w:val="16"/>
          <w:szCs w:val="16"/>
        </w:rPr>
      </w:pPr>
    </w:p>
    <w:p w:rsidR="00E37FA5" w:rsidRPr="00E37FA5" w:rsidRDefault="00E37FA5" w:rsidP="00E37FA5">
      <w:pPr>
        <w:pStyle w:val="a3"/>
        <w:numPr>
          <w:ilvl w:val="0"/>
          <w:numId w:val="4"/>
        </w:numPr>
        <w:rPr>
          <w:sz w:val="16"/>
          <w:szCs w:val="16"/>
        </w:rPr>
      </w:pPr>
      <w:r w:rsidRPr="00E37FA5">
        <w:rPr>
          <w:b/>
          <w:sz w:val="16"/>
          <w:szCs w:val="16"/>
        </w:rPr>
        <w:t>Данилевский Ю.А</w:t>
      </w:r>
      <w:r w:rsidRPr="00E37FA5">
        <w:rPr>
          <w:sz w:val="16"/>
          <w:szCs w:val="16"/>
        </w:rPr>
        <w:t xml:space="preserve">. </w:t>
      </w:r>
    </w:p>
    <w:p w:rsidR="00E37FA5" w:rsidRPr="00E37FA5" w:rsidRDefault="00E37FA5" w:rsidP="00E37FA5">
      <w:pPr>
        <w:pStyle w:val="a3"/>
        <w:ind w:left="360" w:firstLine="0"/>
        <w:rPr>
          <w:sz w:val="16"/>
          <w:szCs w:val="16"/>
        </w:rPr>
      </w:pPr>
      <w:r w:rsidRPr="00E37FA5">
        <w:rPr>
          <w:b/>
          <w:sz w:val="16"/>
          <w:szCs w:val="16"/>
        </w:rPr>
        <w:t>Аудит: организация и методика проведения</w:t>
      </w:r>
      <w:r w:rsidRPr="00E37FA5">
        <w:rPr>
          <w:sz w:val="16"/>
          <w:szCs w:val="16"/>
        </w:rPr>
        <w:t xml:space="preserve">. – М.: Финансы и статистика, </w:t>
      </w:r>
      <w:smartTag w:uri="urn:schemas-microsoft-com:office:smarttags" w:element="metricconverter">
        <w:smartTagPr>
          <w:attr w:name="ProductID" w:val="1998 г"/>
        </w:smartTagPr>
        <w:r w:rsidRPr="00E37FA5">
          <w:rPr>
            <w:sz w:val="16"/>
            <w:szCs w:val="16"/>
          </w:rPr>
          <w:t>1998 г</w:t>
        </w:r>
      </w:smartTag>
      <w:r w:rsidRPr="00E37FA5">
        <w:rPr>
          <w:sz w:val="16"/>
          <w:szCs w:val="16"/>
        </w:rPr>
        <w:t>. – 318 с.</w:t>
      </w:r>
    </w:p>
    <w:p w:rsidR="00E37FA5" w:rsidRPr="00E37FA5" w:rsidRDefault="00E37FA5" w:rsidP="00E37FA5">
      <w:pPr>
        <w:pStyle w:val="a3"/>
        <w:ind w:firstLine="0"/>
        <w:rPr>
          <w:sz w:val="16"/>
          <w:szCs w:val="16"/>
        </w:rPr>
      </w:pPr>
    </w:p>
    <w:p w:rsidR="00E37FA5" w:rsidRPr="00E37FA5" w:rsidRDefault="00E37FA5" w:rsidP="00E37FA5">
      <w:pPr>
        <w:pStyle w:val="a3"/>
        <w:numPr>
          <w:ilvl w:val="0"/>
          <w:numId w:val="4"/>
        </w:numPr>
        <w:rPr>
          <w:sz w:val="16"/>
          <w:szCs w:val="16"/>
        </w:rPr>
      </w:pPr>
      <w:r w:rsidRPr="00E37FA5">
        <w:rPr>
          <w:b/>
          <w:sz w:val="16"/>
          <w:szCs w:val="16"/>
        </w:rPr>
        <w:t>Полисюк Г.Б. и др.</w:t>
      </w:r>
    </w:p>
    <w:p w:rsidR="00447A10" w:rsidRPr="00E37FA5" w:rsidRDefault="00E37FA5" w:rsidP="00E37FA5">
      <w:pPr>
        <w:pStyle w:val="a3"/>
        <w:ind w:left="360" w:firstLine="0"/>
        <w:rPr>
          <w:sz w:val="16"/>
          <w:szCs w:val="16"/>
        </w:rPr>
      </w:pPr>
      <w:r w:rsidRPr="00E37FA5">
        <w:rPr>
          <w:b/>
          <w:sz w:val="16"/>
          <w:szCs w:val="16"/>
        </w:rPr>
        <w:t>Аудит предприятия. Организация аудиторских проверок и комплексный анализ финансовых результатов деятельности предприятия:</w:t>
      </w:r>
      <w:r w:rsidRPr="00E37FA5">
        <w:rPr>
          <w:sz w:val="16"/>
          <w:szCs w:val="16"/>
        </w:rPr>
        <w:t xml:space="preserve"> Учебное пособие/Полисюк Г.Б., Кузьмина Ю.Д., Суханова Г.И.; М. – «Экзамен», </w:t>
      </w:r>
      <w:smartTag w:uri="urn:schemas-microsoft-com:office:smarttags" w:element="metricconverter">
        <w:smartTagPr>
          <w:attr w:name="ProductID" w:val="2001 г"/>
        </w:smartTagPr>
        <w:r w:rsidRPr="00E37FA5">
          <w:rPr>
            <w:sz w:val="16"/>
            <w:szCs w:val="16"/>
          </w:rPr>
          <w:t>2001 г</w:t>
        </w:r>
      </w:smartTag>
      <w:r w:rsidRPr="00E37FA5">
        <w:rPr>
          <w:sz w:val="16"/>
          <w:szCs w:val="16"/>
        </w:rPr>
        <w:t>. – 352 с.</w:t>
      </w:r>
    </w:p>
    <w:p w:rsidR="00447A10" w:rsidRDefault="00447A10" w:rsidP="00447A10">
      <w:pPr>
        <w:pStyle w:val="a3"/>
      </w:pPr>
    </w:p>
    <w:p w:rsidR="00447A10" w:rsidRDefault="00447A10">
      <w:bookmarkStart w:id="0" w:name="_GoBack"/>
      <w:bookmarkEnd w:id="0"/>
    </w:p>
    <w:sectPr w:rsidR="00447A10" w:rsidSect="00447A10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30B29"/>
    <w:multiLevelType w:val="multilevel"/>
    <w:tmpl w:val="B6C2CD0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3657FFC"/>
    <w:multiLevelType w:val="singleLevel"/>
    <w:tmpl w:val="55BC9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62FD565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DDF63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A10"/>
    <w:rsid w:val="00447A10"/>
    <w:rsid w:val="005402BB"/>
    <w:rsid w:val="00582D2B"/>
    <w:rsid w:val="00833487"/>
    <w:rsid w:val="00E3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33FE24-5821-47D2-898A-083CD841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47A10"/>
    <w:pPr>
      <w:keepNext/>
      <w:numPr>
        <w:ilvl w:val="1"/>
        <w:numId w:val="3"/>
      </w:numPr>
      <w:spacing w:before="120" w:after="120"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7A10"/>
    <w:pPr>
      <w:spacing w:line="360" w:lineRule="auto"/>
      <w:ind w:firstLine="1134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Hewlett-Packard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2014-04-04T07:14:00Z</dcterms:created>
  <dcterms:modified xsi:type="dcterms:W3CDTF">2014-04-04T07:14:00Z</dcterms:modified>
</cp:coreProperties>
</file>