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tbl>
      <w:tblPr>
        <w:tblW w:w="7756" w:type="dxa"/>
        <w:tblCellSpacing w:w="6" w:type="dxa"/>
        <w:tblCellMar>
          <w:top w:w="15" w:type="dxa"/>
          <w:left w:w="15" w:type="dxa"/>
          <w:bottom w:w="15" w:type="dxa"/>
          <w:right w:w="15" w:type="dxa"/>
        </w:tblCellMar>
        <w:tblLook w:val="0000" w:firstRow="0" w:lastRow="0" w:firstColumn="0" w:lastColumn="0" w:noHBand="0" w:noVBand="0"/>
      </w:tblPr>
      <w:tblGrid>
        <w:gridCol w:w="8912"/>
      </w:tblGrid>
      <w:tr w:rsidR="00D14DEE">
        <w:trPr>
          <w:trHeight w:val="26"/>
          <w:tblCellSpacing w:w="6" w:type="dxa"/>
          <w:hidden/>
        </w:trPr>
        <w:tc>
          <w:tcPr>
            <w:tcW w:w="7732" w:type="dxa"/>
          </w:tcPr>
          <w:p w:rsidR="00D14DEE" w:rsidRDefault="00D14DEE">
            <w:pPr>
              <w:jc w:val="both"/>
              <w:rPr>
                <w:vanish/>
              </w:rPr>
            </w:pPr>
          </w:p>
          <w:tbl>
            <w:tblPr>
              <w:tblW w:w="8812" w:type="dxa"/>
              <w:jc w:val="center"/>
              <w:tblCellSpacing w:w="6" w:type="dxa"/>
              <w:tblCellMar>
                <w:top w:w="108" w:type="dxa"/>
                <w:bottom w:w="108" w:type="dxa"/>
              </w:tblCellMar>
              <w:tblLook w:val="0000" w:firstRow="0" w:lastRow="0" w:firstColumn="0" w:lastColumn="0" w:noHBand="0" w:noVBand="0"/>
            </w:tblPr>
            <w:tblGrid>
              <w:gridCol w:w="8812"/>
            </w:tblGrid>
            <w:tr w:rsidR="00D14DEE">
              <w:trPr>
                <w:trHeight w:val="375"/>
                <w:tblCellSpacing w:w="6" w:type="dxa"/>
                <w:jc w:val="center"/>
              </w:trPr>
              <w:tc>
                <w:tcPr>
                  <w:tcW w:w="8788" w:type="dxa"/>
                </w:tcPr>
                <w:p w:rsidR="00D14DEE" w:rsidRDefault="00203C10">
                  <w:pPr>
                    <w:pStyle w:val="a5"/>
                    <w:spacing w:before="0" w:beforeAutospacing="0" w:after="288" w:afterAutospacing="0"/>
                    <w:ind w:left="96" w:right="48" w:firstLine="384"/>
                    <w:jc w:val="center"/>
                    <w:rPr>
                      <w:b/>
                      <w:bCs/>
                    </w:rPr>
                  </w:pPr>
                  <w:r>
                    <w:rPr>
                      <w:b/>
                      <w:bCs/>
                      <w:color w:val="000000"/>
                    </w:rPr>
                    <w:t>Хабаровский филиал ДНЦ ФПД СО РАМН.</w:t>
                  </w:r>
                  <w:r>
                    <w:t xml:space="preserve">   </w:t>
                  </w:r>
                  <w:r>
                    <w:rPr>
                      <w:b/>
                      <w:bCs/>
                      <w:color w:val="000000"/>
                    </w:rPr>
                    <w:t>НИИ охраны материнства и детства</w:t>
                  </w:r>
                </w:p>
                <w:p w:rsidR="00D14DEE" w:rsidRDefault="00203C10">
                  <w:pPr>
                    <w:pStyle w:val="a5"/>
                    <w:spacing w:before="0" w:beforeAutospacing="0" w:after="0" w:afterAutospacing="0"/>
                    <w:ind w:left="96" w:right="48" w:firstLine="384"/>
                    <w:jc w:val="center"/>
                    <w:rPr>
                      <w:b/>
                      <w:bCs/>
                    </w:rPr>
                  </w:pPr>
                  <w:r>
                    <w:rPr>
                      <w:b/>
                      <w:bCs/>
                      <w:i/>
                      <w:iCs/>
                      <w:color w:val="000000"/>
                    </w:rPr>
                    <w:t>к.м.н., ст.н.с. О.В. Островская, к.м.н. Н.Ю. Владимирова, И.А. Баглай,</w:t>
                  </w:r>
                </w:p>
                <w:p w:rsidR="00D14DEE" w:rsidRDefault="00203C10">
                  <w:pPr>
                    <w:pStyle w:val="a5"/>
                    <w:spacing w:before="0" w:beforeAutospacing="0" w:after="0" w:afterAutospacing="0"/>
                    <w:ind w:left="96" w:right="48" w:firstLine="384"/>
                    <w:jc w:val="center"/>
                    <w:rPr>
                      <w:b/>
                      <w:bCs/>
                    </w:rPr>
                  </w:pPr>
                  <w:r>
                    <w:rPr>
                      <w:b/>
                      <w:bCs/>
                      <w:i/>
                      <w:iCs/>
                      <w:color w:val="000000"/>
                    </w:rPr>
                    <w:t>д.м.н., проф. Т.Ю. Пестрикова</w:t>
                  </w:r>
                </w:p>
                <w:p w:rsidR="00D14DEE" w:rsidRDefault="00203C10">
                  <w:pPr>
                    <w:pStyle w:val="a5"/>
                    <w:spacing w:before="144" w:beforeAutospacing="0" w:after="0" w:afterAutospacing="0"/>
                    <w:ind w:left="96" w:right="48" w:firstLine="384"/>
                    <w:jc w:val="center"/>
                    <w:rPr>
                      <w:b/>
                      <w:bCs/>
                    </w:rPr>
                  </w:pPr>
                  <w:r>
                    <w:rPr>
                      <w:b/>
                      <w:bCs/>
                      <w:color w:val="000000"/>
                      <w:sz w:val="36"/>
                      <w:szCs w:val="36"/>
                    </w:rPr>
                    <w:t>Обследование женщин при подготовке к беременности</w:t>
                  </w:r>
                </w:p>
                <w:p w:rsidR="00D14DEE" w:rsidRDefault="00203C10">
                  <w:pPr>
                    <w:pStyle w:val="a5"/>
                    <w:spacing w:before="144" w:beforeAutospacing="0" w:after="144" w:afterAutospacing="0"/>
                    <w:ind w:left="96" w:right="48" w:firstLine="384"/>
                    <w:jc w:val="center"/>
                    <w:rPr>
                      <w:b/>
                      <w:bCs/>
                    </w:rPr>
                  </w:pPr>
                  <w:r>
                    <w:rPr>
                      <w:b/>
                      <w:bCs/>
                      <w:color w:val="000000"/>
                    </w:rPr>
                    <w:t>(Информационное письмо</w:t>
                  </w:r>
                  <w:r>
                    <w:t xml:space="preserve"> </w:t>
                  </w:r>
                  <w:r>
                    <w:rPr>
                      <w:b/>
                      <w:bCs/>
                      <w:color w:val="000000"/>
                    </w:rPr>
                    <w:t>для врачей-гинекологов)</w:t>
                  </w:r>
                </w:p>
                <w:p w:rsidR="00D14DEE" w:rsidRDefault="00203C10">
                  <w:pPr>
                    <w:pStyle w:val="a5"/>
                    <w:spacing w:before="0" w:beforeAutospacing="0" w:after="0" w:afterAutospacing="0"/>
                    <w:ind w:left="96" w:right="48" w:firstLine="384"/>
                    <w:jc w:val="center"/>
                  </w:pPr>
                  <w:r>
                    <w:rPr>
                      <w:b/>
                      <w:bCs/>
                      <w:i/>
                      <w:iCs/>
                      <w:color w:val="000000"/>
                    </w:rPr>
                    <w:t>г. Хабаровск, 2000 г.</w:t>
                  </w:r>
                </w:p>
                <w:p w:rsidR="00D14DEE" w:rsidRDefault="00203C10">
                  <w:pPr>
                    <w:pStyle w:val="a5"/>
                    <w:spacing w:before="0" w:beforeAutospacing="0" w:after="0" w:afterAutospacing="0"/>
                    <w:ind w:left="96" w:right="48" w:firstLine="384"/>
                    <w:jc w:val="both"/>
                    <w:rPr>
                      <w:b/>
                      <w:bCs/>
                      <w:i/>
                      <w:iCs/>
                      <w:color w:val="000000"/>
                      <w:sz w:val="27"/>
                      <w:szCs w:val="27"/>
                    </w:rPr>
                  </w:pPr>
                  <w:r>
                    <w:rPr>
                      <w:b/>
                      <w:bCs/>
                      <w:i/>
                      <w:iCs/>
                      <w:color w:val="000000"/>
                      <w:sz w:val="27"/>
                      <w:szCs w:val="27"/>
                    </w:rPr>
                    <w:t> </w:t>
                  </w:r>
                </w:p>
                <w:p w:rsidR="00D14DEE" w:rsidRDefault="00203C10">
                  <w:pPr>
                    <w:pStyle w:val="a5"/>
                    <w:spacing w:before="0" w:beforeAutospacing="0" w:after="0" w:afterAutospacing="0"/>
                    <w:ind w:left="96" w:right="48" w:firstLine="384"/>
                    <w:jc w:val="both"/>
                  </w:pPr>
                  <w:r>
                    <w:rPr>
                      <w:b/>
                      <w:bCs/>
                      <w:color w:val="000000"/>
                    </w:rPr>
                    <w:t> </w:t>
                  </w:r>
                  <w:r>
                    <w:rPr>
                      <w:color w:val="000000"/>
                    </w:rPr>
                    <w:t xml:space="preserve">  </w:t>
                  </w:r>
                  <w:r>
                    <w:t xml:space="preserve"> </w:t>
                  </w:r>
                </w:p>
                <w:p w:rsidR="00D14DEE" w:rsidRDefault="00203C10">
                  <w:pPr>
                    <w:pStyle w:val="a5"/>
                    <w:spacing w:before="0" w:beforeAutospacing="0" w:after="0" w:afterAutospacing="0"/>
                    <w:ind w:left="96" w:right="48" w:firstLine="384"/>
                    <w:jc w:val="both"/>
                    <w:rPr>
                      <w:b/>
                      <w:bCs/>
                      <w:u w:val="single"/>
                    </w:rPr>
                  </w:pPr>
                  <w:r>
                    <w:rPr>
                      <w:b/>
                      <w:bCs/>
                      <w:color w:val="000000"/>
                      <w:u w:val="single"/>
                    </w:rPr>
                    <w:t>Обследование женщин при подготовке к беременности.</w:t>
                  </w:r>
                </w:p>
                <w:p w:rsidR="00D14DEE" w:rsidRDefault="00203C10">
                  <w:pPr>
                    <w:pStyle w:val="a5"/>
                    <w:spacing w:before="0" w:beforeAutospacing="0" w:after="0" w:afterAutospacing="0"/>
                    <w:ind w:left="96" w:right="48" w:firstLine="384"/>
                    <w:jc w:val="both"/>
                    <w:rPr>
                      <w:i/>
                      <w:iCs/>
                      <w:color w:val="000000"/>
                      <w:sz w:val="27"/>
                      <w:szCs w:val="27"/>
                    </w:rPr>
                  </w:pPr>
                  <w:r>
                    <w:rPr>
                      <w:i/>
                      <w:iCs/>
                      <w:color w:val="000000"/>
                      <w:sz w:val="27"/>
                      <w:szCs w:val="27"/>
                    </w:rPr>
                    <w:t> </w:t>
                  </w:r>
                </w:p>
                <w:p w:rsidR="00D14DEE" w:rsidRDefault="00203C10">
                  <w:pPr>
                    <w:pStyle w:val="a5"/>
                    <w:spacing w:before="0" w:beforeAutospacing="0" w:after="0" w:afterAutospacing="0"/>
                    <w:ind w:left="96" w:right="48" w:firstLine="384"/>
                    <w:jc w:val="both"/>
                  </w:pPr>
                  <w:r>
                    <w:rPr>
                      <w:color w:val="000000"/>
                    </w:rPr>
                    <w:t>Известно, что организм взрослого человека не стерилен. Патогенные и условно-патогенные микроорганизмы, возбудители острых, хронических и латентных инфекций могут вызвать внутриутробную инфекцию, если иммунная система беременной женщины и плацента окажутся несостоятельными. Неблагоприятное влияние на плод и новорожденного могут вызвать возбудители заболеваний, передающихся половым путем (сифилиса, гонореи, трихомониаза, хламидиоза, микоуреаплазмоза, кандидоза), листериоза, бруцеллеза, стафилококки, стрептококки и другие бактерии, а также агенты группы TORCH. В группу TORCH на 27 международном конгрессе в Испании в 1997 г. было решено включить ряд инфекций, имеющих у новорожденных сходную клиническую картину: токсоплазмоз, "otros" - другие, краснуху, цитомегалию, герпетическую инфекцию. В подгруппу "другие" объединены врожденный сифилис, ветряная оспа, ВИЧ, а также инфекции, вызванные энтеровирусами и парвовирусом В</w:t>
                  </w:r>
                  <w:r>
                    <w:rPr>
                      <w:color w:val="000000"/>
                      <w:vertAlign w:val="subscript"/>
                    </w:rPr>
                    <w:t xml:space="preserve">19 </w:t>
                  </w:r>
                  <w:r>
                    <w:rPr>
                      <w:color w:val="000000"/>
                    </w:rPr>
                    <w:t>.</w:t>
                  </w:r>
                </w:p>
                <w:p w:rsidR="00D14DEE" w:rsidRDefault="00203C10">
                  <w:pPr>
                    <w:pStyle w:val="a5"/>
                    <w:spacing w:before="0" w:beforeAutospacing="0" w:after="0" w:afterAutospacing="0"/>
                    <w:ind w:left="96" w:right="48" w:firstLine="384"/>
                    <w:jc w:val="both"/>
                  </w:pPr>
                  <w:r>
                    <w:rPr>
                      <w:color w:val="000000"/>
                    </w:rPr>
                    <w:t>Родителям, планирующим желанного, здорового ребенка, желательно при возможности пройти обследование до беременности. Учитывая, что наиболее высокий риск внутриутробной инфекции существует у женщин с дефицитом гормонального, иммунного статуса, при наличии хронических соматических и гинекологических заболеваний, подготовка к беременности должна включать: </w:t>
                  </w:r>
                </w:p>
                <w:p w:rsidR="00D14DEE" w:rsidRDefault="00203C10">
                  <w:pPr>
                    <w:pStyle w:val="a5"/>
                    <w:spacing w:before="0" w:beforeAutospacing="0" w:after="0" w:afterAutospacing="0"/>
                    <w:ind w:left="96" w:right="48" w:firstLine="384"/>
                    <w:jc w:val="both"/>
                  </w:pPr>
                  <w:r>
                    <w:rPr>
                      <w:color w:val="000000"/>
                    </w:rPr>
                    <w:t>1. Выявление и лечение хронических заболеваний (сердечно-сосудистые заболевания и болезни почек, сахарный диабет, недостаточность функции других эндокринных желез, анемия, кариозные зубы, тонзиллит, дисбактериоз, вторичные иммунодефицитные состояния и т.д.). </w:t>
                  </w:r>
                </w:p>
                <w:p w:rsidR="00D14DEE" w:rsidRDefault="00203C10">
                  <w:pPr>
                    <w:pStyle w:val="a5"/>
                    <w:spacing w:before="0" w:beforeAutospacing="0" w:after="0" w:afterAutospacing="0"/>
                    <w:ind w:left="96" w:right="48" w:firstLine="384"/>
                    <w:jc w:val="both"/>
                  </w:pPr>
                  <w:r>
                    <w:rPr>
                      <w:color w:val="000000"/>
                    </w:rPr>
                    <w:t>2. Генетическое обследование. </w:t>
                  </w:r>
                  <w:r>
                    <w:t xml:space="preserve"> </w:t>
                  </w:r>
                </w:p>
                <w:p w:rsidR="00D14DEE" w:rsidRDefault="00203C10">
                  <w:pPr>
                    <w:pStyle w:val="a5"/>
                    <w:spacing w:before="0" w:beforeAutospacing="0" w:after="0" w:afterAutospacing="0"/>
                    <w:ind w:left="96" w:right="48" w:firstLine="384"/>
                    <w:jc w:val="both"/>
                  </w:pPr>
                  <w:r>
                    <w:rPr>
                      <w:color w:val="000000"/>
                    </w:rPr>
                    <w:t>3. Выявление и лечение гинекологических заболеваний. Согласно "Отраслевым стандартам объемов обследования и лечения в акушерстве, гинекологии и неонатологии" , при эндоцервиците, экзоцервиците, при вульвитах, вульвовагинитах, дисвагинозах, диспареунии, вторичной дисменорее необходимо провести анализ выделений из цервикального канала на ВПГ, хламидии, микоплазму, уреаплазму (выявление ДНК или антигенов), анализ мазков на флору. Абсцесс маточных труб и яичника, острый сальпингит, оофорит, хронический гидросальпингс, пиометра, хроническая воспалительная болезнь матки, параметрит, пельвиоперитонит, киста бартолиниевой железы, эндометриоз матки, маточной трубы, цистоцеле - требуют проведения анализа влагалищных выделений на флору, бактериологического посева. Эрозия, дисплазия, лейкоплакия шейки матки - анализ влагалищного мазка на флору (min) и исследования крови на онкомаркеры (max).</w:t>
                  </w:r>
                  <w:r>
                    <w:t xml:space="preserve"> </w:t>
                  </w:r>
                </w:p>
                <w:p w:rsidR="00D14DEE" w:rsidRDefault="00203C10">
                  <w:pPr>
                    <w:pStyle w:val="a5"/>
                    <w:spacing w:before="0" w:beforeAutospacing="0" w:after="0" w:afterAutospacing="0"/>
                    <w:ind w:left="96" w:right="48" w:firstLine="384"/>
                    <w:jc w:val="both"/>
                  </w:pPr>
                  <w:r>
                    <w:rPr>
                      <w:color w:val="000000"/>
                    </w:rPr>
                    <w:t>4. Выявление и лечение рецидивирующих форм генитального герпеса, его малосимптомных и атипичных форм (уретриты, проктиты, невралгические боли в области таза и внизу живота, трещины, зуд, хронические эндоцервициты, эрозии шейки матки, вагиниты, эндометриты, сальпингоофориты).</w:t>
                  </w:r>
                </w:p>
                <w:p w:rsidR="00D14DEE" w:rsidRDefault="00203C10">
                  <w:pPr>
                    <w:pStyle w:val="a5"/>
                    <w:spacing w:before="0" w:beforeAutospacing="0" w:after="0" w:afterAutospacing="0"/>
                    <w:ind w:left="96" w:right="48" w:firstLine="384"/>
                    <w:jc w:val="both"/>
                  </w:pPr>
                  <w:r>
                    <w:rPr>
                      <w:color w:val="000000"/>
                    </w:rPr>
                    <w:t>5. Вирусолого-серологическое обследование для выявления TORCH-инфекций. При обнаружении маркеров TORCH-инфекций - оценка результатов анализов и тактика врача следующая (табл. 1).</w:t>
                  </w:r>
                </w:p>
                <w:p w:rsidR="00D14DEE" w:rsidRDefault="00203C10">
                  <w:pPr>
                    <w:pStyle w:val="a5"/>
                    <w:spacing w:after="144" w:afterAutospacing="0"/>
                    <w:ind w:left="96" w:right="48"/>
                    <w:jc w:val="both"/>
                    <w:rPr>
                      <w:b/>
                      <w:bCs/>
                    </w:rPr>
                  </w:pPr>
                  <w:r>
                    <w:rPr>
                      <w:color w:val="000000"/>
                    </w:rPr>
                    <w:t>Таблица 1.</w:t>
                  </w:r>
                  <w:r>
                    <w:t xml:space="preserve">   </w:t>
                  </w:r>
                  <w:r>
                    <w:rPr>
                      <w:b/>
                      <w:bCs/>
                      <w:color w:val="000000"/>
                    </w:rPr>
                    <w:t>Выявление маркеров герпес-инфекций до беременности</w:t>
                  </w:r>
                </w:p>
                <w:tbl>
                  <w:tblPr>
                    <w:tblW w:w="8309" w:type="dxa"/>
                    <w:tblCellSpacing w:w="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000" w:firstRow="0" w:lastRow="0" w:firstColumn="0" w:lastColumn="0" w:noHBand="0" w:noVBand="0"/>
                  </w:tblPr>
                  <w:tblGrid>
                    <w:gridCol w:w="344"/>
                    <w:gridCol w:w="2368"/>
                    <w:gridCol w:w="5597"/>
                  </w:tblGrid>
                  <w:tr w:rsidR="00D14DEE">
                    <w:trPr>
                      <w:tblCellSpacing w:w="6" w:type="dxa"/>
                    </w:trPr>
                    <w:tc>
                      <w:tcPr>
                        <w:tcW w:w="326" w:type="dxa"/>
                        <w:vAlign w:val="center"/>
                      </w:tcPr>
                      <w:p w:rsidR="00D14DEE" w:rsidRDefault="00203C10">
                        <w:pPr>
                          <w:jc w:val="both"/>
                        </w:pPr>
                        <w:r>
                          <w:rPr>
                            <w:b/>
                            <w:bCs/>
                            <w:color w:val="000000"/>
                          </w:rPr>
                          <w:t>№</w:t>
                        </w:r>
                      </w:p>
                    </w:tc>
                    <w:tc>
                      <w:tcPr>
                        <w:tcW w:w="2356" w:type="dxa"/>
                        <w:vAlign w:val="center"/>
                      </w:tcPr>
                      <w:p w:rsidR="00D14DEE" w:rsidRDefault="00203C10">
                        <w:pPr>
                          <w:pStyle w:val="a5"/>
                          <w:ind w:left="96" w:right="48"/>
                        </w:pPr>
                        <w:r>
                          <w:rPr>
                            <w:b/>
                            <w:bCs/>
                            <w:color w:val="000000"/>
                          </w:rPr>
                          <w:t>До беременности выявлены маркеры</w:t>
                        </w:r>
                      </w:p>
                    </w:tc>
                    <w:tc>
                      <w:tcPr>
                        <w:tcW w:w="5579" w:type="dxa"/>
                        <w:vAlign w:val="center"/>
                      </w:tcPr>
                      <w:p w:rsidR="00D14DEE" w:rsidRDefault="00203C10">
                        <w:pPr>
                          <w:pStyle w:val="a5"/>
                          <w:ind w:left="96" w:right="48"/>
                          <w:jc w:val="both"/>
                        </w:pPr>
                        <w:r>
                          <w:rPr>
                            <w:b/>
                            <w:bCs/>
                            <w:color w:val="000000"/>
                          </w:rPr>
                          <w:t>Рекомендации</w:t>
                        </w:r>
                      </w:p>
                    </w:tc>
                  </w:tr>
                  <w:tr w:rsidR="00D14DEE">
                    <w:trPr>
                      <w:tblCellSpacing w:w="6" w:type="dxa"/>
                    </w:trPr>
                    <w:tc>
                      <w:tcPr>
                        <w:tcW w:w="326" w:type="dxa"/>
                        <w:vAlign w:val="center"/>
                      </w:tcPr>
                      <w:p w:rsidR="00D14DEE" w:rsidRDefault="00203C10">
                        <w:pPr>
                          <w:pStyle w:val="a5"/>
                          <w:ind w:left="96" w:right="48"/>
                          <w:jc w:val="both"/>
                        </w:pPr>
                        <w:r>
                          <w:rPr>
                            <w:color w:val="000000"/>
                          </w:rPr>
                          <w:t>1</w:t>
                        </w:r>
                        <w:r>
                          <w:t xml:space="preserve"> </w:t>
                        </w:r>
                      </w:p>
                    </w:tc>
                    <w:tc>
                      <w:tcPr>
                        <w:tcW w:w="2356" w:type="dxa"/>
                        <w:vAlign w:val="center"/>
                      </w:tcPr>
                      <w:p w:rsidR="00D14DEE" w:rsidRDefault="00203C10">
                        <w:pPr>
                          <w:pStyle w:val="a5"/>
                          <w:spacing w:before="72" w:beforeAutospacing="0" w:after="72" w:afterAutospacing="0"/>
                          <w:ind w:left="96" w:right="48"/>
                        </w:pPr>
                        <w:r>
                          <w:rPr>
                            <w:color w:val="000000"/>
                          </w:rPr>
                          <w:t xml:space="preserve">Анти-ВПГ или анти-ЦМВ IgG - результат </w:t>
                        </w:r>
                        <w:r>
                          <w:rPr>
                            <w:color w:val="000000"/>
                            <w:u w:val="single"/>
                          </w:rPr>
                          <w:t>положительный</w:t>
                        </w:r>
                      </w:p>
                    </w:tc>
                    <w:tc>
                      <w:tcPr>
                        <w:tcW w:w="5579" w:type="dxa"/>
                        <w:vAlign w:val="center"/>
                      </w:tcPr>
                      <w:p w:rsidR="00D14DEE" w:rsidRDefault="00203C10">
                        <w:pPr>
                          <w:pStyle w:val="a5"/>
                          <w:ind w:left="96" w:right="48"/>
                          <w:jc w:val="both"/>
                        </w:pPr>
                        <w:r>
                          <w:rPr>
                            <w:color w:val="000000"/>
                          </w:rPr>
                          <w:t>Показатель, свидетельствующий о наличии защитных специфических антител. Никаких действий.</w:t>
                        </w:r>
                      </w:p>
                    </w:tc>
                  </w:tr>
                  <w:tr w:rsidR="00D14DEE">
                    <w:trPr>
                      <w:tblCellSpacing w:w="6" w:type="dxa"/>
                    </w:trPr>
                    <w:tc>
                      <w:tcPr>
                        <w:tcW w:w="326" w:type="dxa"/>
                        <w:vAlign w:val="center"/>
                      </w:tcPr>
                      <w:p w:rsidR="00D14DEE" w:rsidRDefault="00203C10">
                        <w:pPr>
                          <w:pStyle w:val="a5"/>
                          <w:ind w:left="96" w:right="48"/>
                          <w:jc w:val="both"/>
                        </w:pPr>
                        <w:r>
                          <w:rPr>
                            <w:color w:val="000000"/>
                          </w:rPr>
                          <w:t>2</w:t>
                        </w:r>
                        <w:r>
                          <w:t xml:space="preserve"> </w:t>
                        </w:r>
                      </w:p>
                    </w:tc>
                    <w:tc>
                      <w:tcPr>
                        <w:tcW w:w="2356" w:type="dxa"/>
                        <w:vAlign w:val="center"/>
                      </w:tcPr>
                      <w:p w:rsidR="00D14DEE" w:rsidRDefault="00203C10">
                        <w:pPr>
                          <w:pStyle w:val="a5"/>
                          <w:ind w:left="96" w:right="48"/>
                        </w:pPr>
                        <w:r>
                          <w:rPr>
                            <w:color w:val="000000"/>
                          </w:rPr>
                          <w:t xml:space="preserve">Анти-ВПГ или анти-ЦМВ IgG - результат </w:t>
                        </w:r>
                        <w:r>
                          <w:rPr>
                            <w:color w:val="000000"/>
                            <w:u w:val="single"/>
                          </w:rPr>
                          <w:t>отрицательный</w:t>
                        </w:r>
                      </w:p>
                    </w:tc>
                    <w:tc>
                      <w:tcPr>
                        <w:tcW w:w="5579" w:type="dxa"/>
                        <w:vAlign w:val="center"/>
                      </w:tcPr>
                      <w:p w:rsidR="00D14DEE" w:rsidRDefault="00203C10">
                        <w:pPr>
                          <w:pStyle w:val="a5"/>
                          <w:ind w:left="96" w:right="48"/>
                          <w:jc w:val="both"/>
                        </w:pPr>
                        <w:r>
                          <w:rPr>
                            <w:color w:val="000000"/>
                          </w:rPr>
                          <w:t>Отсутствие специфических защитных антител. При беременности возможна первичная инфекция, при которой наиболее высок риск внутриутробного поражения плода. Взять на учет, повторить анализы при беременности. Если во время беременности IgМ положительны, а IgG отрицательны  -  ввести иммуноглобулин, контроль по УЗИ, дополнительное обследование, тщательное наблюдение при дополнительных неблагоприятных показателях возможно решение вопроса о прерывании беременности.</w:t>
                        </w:r>
                      </w:p>
                    </w:tc>
                  </w:tr>
                  <w:tr w:rsidR="00D14DEE">
                    <w:trPr>
                      <w:tblCellSpacing w:w="6" w:type="dxa"/>
                    </w:trPr>
                    <w:tc>
                      <w:tcPr>
                        <w:tcW w:w="326" w:type="dxa"/>
                        <w:vAlign w:val="center"/>
                      </w:tcPr>
                      <w:p w:rsidR="00D14DEE" w:rsidRDefault="00203C10">
                        <w:pPr>
                          <w:pStyle w:val="a5"/>
                          <w:ind w:left="96" w:right="48"/>
                          <w:jc w:val="both"/>
                        </w:pPr>
                        <w:r>
                          <w:rPr>
                            <w:color w:val="000000"/>
                          </w:rPr>
                          <w:t>3</w:t>
                        </w:r>
                        <w:r>
                          <w:t xml:space="preserve"> </w:t>
                        </w:r>
                      </w:p>
                    </w:tc>
                    <w:tc>
                      <w:tcPr>
                        <w:tcW w:w="2356" w:type="dxa"/>
                        <w:vAlign w:val="center"/>
                      </w:tcPr>
                      <w:p w:rsidR="00D14DEE" w:rsidRDefault="00203C10">
                        <w:pPr>
                          <w:pStyle w:val="a5"/>
                          <w:ind w:left="96" w:right="48"/>
                        </w:pPr>
                        <w:r>
                          <w:rPr>
                            <w:color w:val="000000"/>
                          </w:rPr>
                          <w:t xml:space="preserve">Анти-ВПГ или анти-ЦМВ IgМ - результат </w:t>
                        </w:r>
                        <w:r>
                          <w:rPr>
                            <w:color w:val="000000"/>
                            <w:u w:val="single"/>
                          </w:rPr>
                          <w:t>положительный</w:t>
                        </w:r>
                        <w:r>
                          <w:t xml:space="preserve"> </w:t>
                        </w:r>
                      </w:p>
                      <w:p w:rsidR="00D14DEE" w:rsidRDefault="00203C10">
                        <w:pPr>
                          <w:pStyle w:val="a5"/>
                          <w:ind w:left="96" w:right="48"/>
                        </w:pPr>
                        <w:r>
                          <w:t> </w:t>
                        </w:r>
                      </w:p>
                    </w:tc>
                    <w:tc>
                      <w:tcPr>
                        <w:tcW w:w="5579" w:type="dxa"/>
                        <w:vAlign w:val="center"/>
                      </w:tcPr>
                      <w:p w:rsidR="00D14DEE" w:rsidRDefault="00203C10">
                        <w:pPr>
                          <w:pStyle w:val="a5"/>
                          <w:ind w:left="96" w:right="48"/>
                          <w:jc w:val="both"/>
                        </w:pPr>
                        <w:r>
                          <w:rPr>
                            <w:color w:val="000000"/>
                          </w:rPr>
                          <w:t>Показатель активного размножения вируса. Анти-ВПГ IgМ выявляются у 10-20% здоровых людей, анти-ЦМВ IgМ выявляются у 7-10% здоровых людей. IgМ самостоятельно распадаются после перехода вируса в состояние латенции. Взять на учет.</w:t>
                        </w:r>
                      </w:p>
                    </w:tc>
                  </w:tr>
                  <w:tr w:rsidR="00D14DEE">
                    <w:trPr>
                      <w:tblCellSpacing w:w="6" w:type="dxa"/>
                    </w:trPr>
                    <w:tc>
                      <w:tcPr>
                        <w:tcW w:w="326" w:type="dxa"/>
                        <w:vAlign w:val="center"/>
                      </w:tcPr>
                      <w:p w:rsidR="00D14DEE" w:rsidRDefault="00203C10">
                        <w:pPr>
                          <w:pStyle w:val="a5"/>
                          <w:ind w:left="96" w:right="48"/>
                          <w:jc w:val="both"/>
                        </w:pPr>
                        <w:r>
                          <w:rPr>
                            <w:color w:val="000000"/>
                          </w:rPr>
                          <w:t>4</w:t>
                        </w:r>
                        <w:r>
                          <w:t xml:space="preserve"> </w:t>
                        </w:r>
                      </w:p>
                    </w:tc>
                    <w:tc>
                      <w:tcPr>
                        <w:tcW w:w="2356" w:type="dxa"/>
                        <w:vAlign w:val="center"/>
                      </w:tcPr>
                      <w:p w:rsidR="00D14DEE" w:rsidRDefault="00203C10">
                        <w:pPr>
                          <w:pStyle w:val="a5"/>
                          <w:spacing w:before="72" w:beforeAutospacing="0" w:after="72" w:afterAutospacing="0"/>
                          <w:ind w:left="96" w:right="48"/>
                        </w:pPr>
                        <w:r>
                          <w:rPr>
                            <w:color w:val="000000"/>
                          </w:rPr>
                          <w:t xml:space="preserve">Анти-ВПГ IgМ- результат </w:t>
                        </w:r>
                        <w:r>
                          <w:rPr>
                            <w:color w:val="000000"/>
                            <w:u w:val="single"/>
                          </w:rPr>
                          <w:t>отрицательный</w:t>
                        </w:r>
                        <w:r>
                          <w:rPr>
                            <w:color w:val="000000"/>
                          </w:rPr>
                          <w:t xml:space="preserve"> или анти-ЦМВ IgМ- результат </w:t>
                        </w:r>
                        <w:r>
                          <w:rPr>
                            <w:color w:val="000000"/>
                            <w:u w:val="single"/>
                          </w:rPr>
                          <w:t>отрицательный</w:t>
                        </w:r>
                      </w:p>
                    </w:tc>
                    <w:tc>
                      <w:tcPr>
                        <w:tcW w:w="5579" w:type="dxa"/>
                        <w:vAlign w:val="center"/>
                      </w:tcPr>
                      <w:p w:rsidR="00D14DEE" w:rsidRDefault="00203C10">
                        <w:pPr>
                          <w:pStyle w:val="a5"/>
                          <w:ind w:left="96" w:right="48"/>
                          <w:jc w:val="both"/>
                        </w:pPr>
                        <w:r>
                          <w:rPr>
                            <w:color w:val="000000"/>
                          </w:rPr>
                          <w:t>Активная репродукция вируса отсутствует</w:t>
                        </w:r>
                      </w:p>
                    </w:tc>
                  </w:tr>
                  <w:tr w:rsidR="00D14DEE">
                    <w:trPr>
                      <w:tblCellSpacing w:w="6" w:type="dxa"/>
                    </w:trPr>
                    <w:tc>
                      <w:tcPr>
                        <w:tcW w:w="326" w:type="dxa"/>
                        <w:vAlign w:val="center"/>
                      </w:tcPr>
                      <w:p w:rsidR="00D14DEE" w:rsidRDefault="00203C10">
                        <w:pPr>
                          <w:pStyle w:val="a5"/>
                          <w:ind w:left="96" w:right="48"/>
                          <w:jc w:val="both"/>
                        </w:pPr>
                        <w:r>
                          <w:rPr>
                            <w:color w:val="000000"/>
                          </w:rPr>
                          <w:t>5</w:t>
                        </w:r>
                        <w:r>
                          <w:t xml:space="preserve"> </w:t>
                        </w:r>
                      </w:p>
                    </w:tc>
                    <w:tc>
                      <w:tcPr>
                        <w:tcW w:w="2356" w:type="dxa"/>
                        <w:vAlign w:val="center"/>
                      </w:tcPr>
                      <w:p w:rsidR="00D14DEE" w:rsidRDefault="00203C10">
                        <w:pPr>
                          <w:pStyle w:val="a5"/>
                          <w:ind w:left="96" w:right="48"/>
                        </w:pPr>
                        <w:r>
                          <w:rPr>
                            <w:color w:val="000000"/>
                          </w:rPr>
                          <w:t xml:space="preserve">Антиген или ДНК вируса выявлены в цервикальном канале (результат </w:t>
                        </w:r>
                        <w:r>
                          <w:rPr>
                            <w:color w:val="000000"/>
                            <w:u w:val="single"/>
                          </w:rPr>
                          <w:t>положительный)</w:t>
                        </w:r>
                      </w:p>
                    </w:tc>
                    <w:tc>
                      <w:tcPr>
                        <w:tcW w:w="5579" w:type="dxa"/>
                        <w:vAlign w:val="center"/>
                      </w:tcPr>
                      <w:p w:rsidR="00D14DEE" w:rsidRDefault="00203C10">
                        <w:pPr>
                          <w:pStyle w:val="a5"/>
                          <w:ind w:left="96" w:right="48"/>
                          <w:jc w:val="both"/>
                        </w:pPr>
                        <w:r>
                          <w:rPr>
                            <w:color w:val="000000"/>
                          </w:rPr>
                          <w:t>Возможность восходящего или гематогенного пути заражения плода во время беременности, возможность заражения новорожденного при прохождении через инфицированные родовые пути.</w:t>
                        </w:r>
                      </w:p>
                      <w:p w:rsidR="00D14DEE" w:rsidRDefault="00203C10">
                        <w:pPr>
                          <w:pStyle w:val="a5"/>
                          <w:ind w:left="96" w:right="48"/>
                          <w:jc w:val="both"/>
                        </w:pPr>
                        <w:r>
                          <w:rPr>
                            <w:color w:val="000000"/>
                          </w:rPr>
                          <w:t>Но ВПГ выявляют в шейке матки у 0,6-33% здоровых беременных, ЦМВ - у 10-30%.</w:t>
                        </w:r>
                      </w:p>
                      <w:p w:rsidR="00D14DEE" w:rsidRDefault="00203C10">
                        <w:pPr>
                          <w:pStyle w:val="a5"/>
                          <w:ind w:left="96" w:right="48"/>
                          <w:jc w:val="both"/>
                        </w:pPr>
                        <w:r>
                          <w:rPr>
                            <w:color w:val="000000"/>
                          </w:rPr>
                          <w:t>Единого мнения о профилактике нет, вирус нельзя вывести из организма. Эффективность ацикловира, циклоферона, иммуноглобулина при бессимптомном вирусоносительстве сомнительна.</w:t>
                        </w:r>
                      </w:p>
                      <w:p w:rsidR="00D14DEE" w:rsidRDefault="00203C10">
                        <w:pPr>
                          <w:pStyle w:val="a5"/>
                          <w:ind w:left="96" w:right="48"/>
                          <w:jc w:val="both"/>
                        </w:pPr>
                        <w:r>
                          <w:rPr>
                            <w:color w:val="000000"/>
                          </w:rPr>
                          <w:t>Важно поддерживать иммунитет в хорошем состоянии (полноценное питание, разумные физические нагрузки, хороший сон, т.е. здоровый образ жизни, санация хронических заболеваний, атипичных форм генитального герпеса, упорядоченная половая жизнь, техника безопасного секса).</w:t>
                        </w:r>
                      </w:p>
                      <w:p w:rsidR="00D14DEE" w:rsidRDefault="00203C10">
                        <w:pPr>
                          <w:pStyle w:val="a5"/>
                          <w:ind w:left="96" w:right="48"/>
                          <w:jc w:val="both"/>
                        </w:pPr>
                        <w:r>
                          <w:rPr>
                            <w:color w:val="000000"/>
                          </w:rPr>
                          <w:t>Взять на учет, повторить анализ при беременности.</w:t>
                        </w:r>
                      </w:p>
                    </w:tc>
                  </w:tr>
                </w:tbl>
                <w:p w:rsidR="00D14DEE" w:rsidRDefault="00203C10">
                  <w:pPr>
                    <w:pStyle w:val="a5"/>
                    <w:ind w:left="96" w:right="48"/>
                    <w:jc w:val="both"/>
                    <w:rPr>
                      <w:b/>
                      <w:bCs/>
                    </w:rPr>
                  </w:pPr>
                  <w:r>
                    <w:rPr>
                      <w:b/>
                      <w:bCs/>
                      <w:color w:val="000000"/>
                    </w:rPr>
                    <w:t>  </w:t>
                  </w:r>
                </w:p>
                <w:p w:rsidR="00D14DEE" w:rsidRDefault="00203C10">
                  <w:pPr>
                    <w:pStyle w:val="a5"/>
                    <w:ind w:left="96" w:right="48"/>
                    <w:jc w:val="both"/>
                    <w:rPr>
                      <w:b/>
                      <w:bCs/>
                    </w:rPr>
                  </w:pPr>
                  <w:r>
                    <w:rPr>
                      <w:color w:val="000000"/>
                    </w:rPr>
                    <w:t>Таблица 2.</w:t>
                  </w:r>
                  <w:r>
                    <w:rPr>
                      <w:b/>
                      <w:bCs/>
                      <w:color w:val="000000"/>
                    </w:rPr>
                    <w:t xml:space="preserve"> Выявление маркеров токсоплазмоза до беременности.</w:t>
                  </w:r>
                </w:p>
                <w:tbl>
                  <w:tblPr>
                    <w:tblW w:w="8309" w:type="dxa"/>
                    <w:tblCellSpacing w:w="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000" w:firstRow="0" w:lastRow="0" w:firstColumn="0" w:lastColumn="0" w:noHBand="0" w:noVBand="0"/>
                  </w:tblPr>
                  <w:tblGrid>
                    <w:gridCol w:w="458"/>
                    <w:gridCol w:w="1911"/>
                    <w:gridCol w:w="5940"/>
                  </w:tblGrid>
                  <w:tr w:rsidR="00D14DEE">
                    <w:trPr>
                      <w:tblCellSpacing w:w="6" w:type="dxa"/>
                    </w:trPr>
                    <w:tc>
                      <w:tcPr>
                        <w:tcW w:w="440" w:type="dxa"/>
                        <w:vAlign w:val="center"/>
                      </w:tcPr>
                      <w:p w:rsidR="00D14DEE" w:rsidRDefault="00203C10">
                        <w:pPr>
                          <w:pStyle w:val="a5"/>
                          <w:ind w:left="96" w:right="48"/>
                          <w:jc w:val="both"/>
                        </w:pPr>
                        <w:r>
                          <w:rPr>
                            <w:b/>
                            <w:bCs/>
                            <w:color w:val="000000"/>
                          </w:rPr>
                          <w:t>№</w:t>
                        </w:r>
                      </w:p>
                    </w:tc>
                    <w:tc>
                      <w:tcPr>
                        <w:tcW w:w="1899" w:type="dxa"/>
                        <w:vAlign w:val="center"/>
                      </w:tcPr>
                      <w:p w:rsidR="00D14DEE" w:rsidRDefault="00203C10">
                        <w:pPr>
                          <w:pStyle w:val="a5"/>
                          <w:ind w:left="96" w:right="48"/>
                          <w:jc w:val="both"/>
                        </w:pPr>
                        <w:r>
                          <w:rPr>
                            <w:b/>
                            <w:bCs/>
                            <w:color w:val="000000"/>
                          </w:rPr>
                          <w:t>Выявлены маркеры</w:t>
                        </w:r>
                      </w:p>
                    </w:tc>
                    <w:tc>
                      <w:tcPr>
                        <w:tcW w:w="5922" w:type="dxa"/>
                        <w:vAlign w:val="center"/>
                      </w:tcPr>
                      <w:p w:rsidR="00D14DEE" w:rsidRDefault="00203C10">
                        <w:pPr>
                          <w:pStyle w:val="a5"/>
                          <w:ind w:left="96" w:right="48"/>
                          <w:jc w:val="both"/>
                        </w:pPr>
                        <w:r>
                          <w:rPr>
                            <w:b/>
                            <w:bCs/>
                            <w:color w:val="000000"/>
                          </w:rPr>
                          <w:t>Рекомендации</w:t>
                        </w:r>
                      </w:p>
                    </w:tc>
                  </w:tr>
                  <w:tr w:rsidR="00D14DEE">
                    <w:trPr>
                      <w:tblCellSpacing w:w="6" w:type="dxa"/>
                    </w:trPr>
                    <w:tc>
                      <w:tcPr>
                        <w:tcW w:w="440" w:type="dxa"/>
                        <w:vAlign w:val="center"/>
                      </w:tcPr>
                      <w:p w:rsidR="00D14DEE" w:rsidRDefault="00203C10">
                        <w:pPr>
                          <w:pStyle w:val="a5"/>
                          <w:ind w:left="96" w:right="48"/>
                          <w:jc w:val="both"/>
                        </w:pPr>
                        <w:r>
                          <w:rPr>
                            <w:color w:val="000000"/>
                          </w:rPr>
                          <w:t>1</w:t>
                        </w:r>
                        <w:r>
                          <w:t xml:space="preserve"> </w:t>
                        </w:r>
                      </w:p>
                    </w:tc>
                    <w:tc>
                      <w:tcPr>
                        <w:tcW w:w="1899" w:type="dxa"/>
                        <w:vAlign w:val="center"/>
                      </w:tcPr>
                      <w:p w:rsidR="00D14DEE" w:rsidRDefault="00203C10">
                        <w:pPr>
                          <w:pStyle w:val="a5"/>
                          <w:spacing w:after="0" w:afterAutospacing="0"/>
                          <w:ind w:left="96" w:right="48"/>
                          <w:jc w:val="both"/>
                        </w:pPr>
                        <w:r>
                          <w:rPr>
                            <w:color w:val="000000"/>
                          </w:rPr>
                          <w:t xml:space="preserve">анти-ТОХО IgМ - результат </w:t>
                        </w:r>
                        <w:r>
                          <w:rPr>
                            <w:color w:val="000000"/>
                            <w:u w:val="single"/>
                          </w:rPr>
                          <w:t>отрицательный</w:t>
                        </w:r>
                        <w:r>
                          <w:rPr>
                            <w:color w:val="000000"/>
                          </w:rPr>
                          <w:t> </w:t>
                        </w:r>
                      </w:p>
                      <w:p w:rsidR="00D14DEE" w:rsidRDefault="00203C10">
                        <w:pPr>
                          <w:pStyle w:val="a5"/>
                          <w:spacing w:before="72" w:beforeAutospacing="0" w:after="72" w:afterAutospacing="0"/>
                          <w:ind w:left="96" w:right="48"/>
                          <w:jc w:val="both"/>
                        </w:pPr>
                        <w:r>
                          <w:rPr>
                            <w:b/>
                            <w:bCs/>
                            <w:color w:val="000000"/>
                          </w:rPr>
                          <w:t>и</w:t>
                        </w:r>
                      </w:p>
                      <w:p w:rsidR="00D14DEE" w:rsidRDefault="00203C10">
                        <w:pPr>
                          <w:pStyle w:val="a5"/>
                          <w:spacing w:before="0" w:beforeAutospacing="0"/>
                          <w:ind w:left="96" w:right="48"/>
                          <w:jc w:val="both"/>
                        </w:pPr>
                        <w:r>
                          <w:rPr>
                            <w:color w:val="000000"/>
                          </w:rPr>
                          <w:t xml:space="preserve">анти-ТОХО IgG - результат </w:t>
                        </w:r>
                        <w:r>
                          <w:rPr>
                            <w:color w:val="000000"/>
                            <w:u w:val="single"/>
                          </w:rPr>
                          <w:t>отрицательный</w:t>
                        </w:r>
                      </w:p>
                    </w:tc>
                    <w:tc>
                      <w:tcPr>
                        <w:tcW w:w="5922" w:type="dxa"/>
                      </w:tcPr>
                      <w:p w:rsidR="00D14DEE" w:rsidRDefault="00203C10">
                        <w:pPr>
                          <w:pStyle w:val="a5"/>
                          <w:ind w:left="96" w:right="48"/>
                          <w:jc w:val="both"/>
                        </w:pPr>
                        <w:r>
                          <w:rPr>
                            <w:color w:val="000000"/>
                          </w:rPr>
                          <w:t>Иммунитет к токсоплазмозу отсутствует (51% женщин детородного возраста).</w:t>
                        </w:r>
                      </w:p>
                      <w:p w:rsidR="00D14DEE" w:rsidRDefault="00203C10">
                        <w:pPr>
                          <w:pStyle w:val="a5"/>
                          <w:ind w:left="96" w:right="48"/>
                          <w:jc w:val="both"/>
                        </w:pPr>
                        <w:r>
                          <w:rPr>
                            <w:color w:val="000000"/>
                          </w:rPr>
                          <w:t>Существует опасность первичного токсоплазмоза во время беременности. Женщинам до и во время беременности рекомендовать не есть сырое и полусырое мясо, а только хорошо термически обработанное. При работе на даче одевать перчатки. Ежедневно, в перчатках вычищать кошачьи туалеты (заразными выделения становятся через 24 часа, в течение 1-3 суток ооцисты созревают и сохраняют инфекционность до 2-х лет). Не целоваться с кошками. Во время беременности анализ повторить.</w:t>
                        </w:r>
                      </w:p>
                    </w:tc>
                  </w:tr>
                  <w:tr w:rsidR="00D14DEE">
                    <w:trPr>
                      <w:tblCellSpacing w:w="6" w:type="dxa"/>
                    </w:trPr>
                    <w:tc>
                      <w:tcPr>
                        <w:tcW w:w="440" w:type="dxa"/>
                        <w:vAlign w:val="center"/>
                      </w:tcPr>
                      <w:p w:rsidR="00D14DEE" w:rsidRDefault="00203C10">
                        <w:pPr>
                          <w:pStyle w:val="a5"/>
                          <w:ind w:left="96" w:right="48"/>
                          <w:jc w:val="both"/>
                        </w:pPr>
                        <w:r>
                          <w:rPr>
                            <w:color w:val="000000"/>
                          </w:rPr>
                          <w:t>2</w:t>
                        </w:r>
                        <w:r>
                          <w:t xml:space="preserve"> </w:t>
                        </w:r>
                      </w:p>
                    </w:tc>
                    <w:tc>
                      <w:tcPr>
                        <w:tcW w:w="1899" w:type="dxa"/>
                        <w:vAlign w:val="center"/>
                      </w:tcPr>
                      <w:p w:rsidR="00D14DEE" w:rsidRDefault="00203C10">
                        <w:pPr>
                          <w:pStyle w:val="a5"/>
                          <w:spacing w:before="72" w:beforeAutospacing="0" w:after="0" w:afterAutospacing="0"/>
                          <w:ind w:left="96" w:right="48"/>
                          <w:jc w:val="both"/>
                        </w:pPr>
                        <w:r>
                          <w:rPr>
                            <w:color w:val="000000"/>
                          </w:rPr>
                          <w:t xml:space="preserve">анти-ТОХО IgМ результат </w:t>
                        </w:r>
                        <w:r>
                          <w:rPr>
                            <w:color w:val="000000"/>
                            <w:u w:val="single"/>
                          </w:rPr>
                          <w:t>положительный</w:t>
                        </w:r>
                        <w:r>
                          <w:rPr>
                            <w:color w:val="000000"/>
                          </w:rPr>
                          <w:t> </w:t>
                        </w:r>
                      </w:p>
                      <w:p w:rsidR="00D14DEE" w:rsidRDefault="00203C10">
                        <w:pPr>
                          <w:pStyle w:val="a5"/>
                          <w:spacing w:before="0" w:beforeAutospacing="0" w:after="0" w:afterAutospacing="0"/>
                          <w:ind w:left="96" w:right="48"/>
                          <w:jc w:val="both"/>
                        </w:pPr>
                        <w:r>
                          <w:rPr>
                            <w:b/>
                            <w:bCs/>
                            <w:color w:val="000000"/>
                          </w:rPr>
                          <w:t>и</w:t>
                        </w:r>
                      </w:p>
                      <w:p w:rsidR="00D14DEE" w:rsidRDefault="00203C10">
                        <w:pPr>
                          <w:pStyle w:val="a5"/>
                          <w:spacing w:before="0" w:beforeAutospacing="0" w:after="0" w:afterAutospacing="0"/>
                          <w:ind w:left="96" w:right="48"/>
                          <w:jc w:val="both"/>
                        </w:pPr>
                        <w:r>
                          <w:rPr>
                            <w:color w:val="000000"/>
                          </w:rPr>
                          <w:t xml:space="preserve">анти-ТОХО IgG - результат </w:t>
                        </w:r>
                        <w:r>
                          <w:rPr>
                            <w:color w:val="000000"/>
                            <w:u w:val="single"/>
                          </w:rPr>
                          <w:t>отрицательный</w:t>
                        </w:r>
                      </w:p>
                      <w:p w:rsidR="00D14DEE" w:rsidRDefault="00203C10">
                        <w:pPr>
                          <w:pStyle w:val="a5"/>
                          <w:spacing w:before="72" w:beforeAutospacing="0" w:after="72" w:afterAutospacing="0"/>
                          <w:ind w:right="48"/>
                          <w:jc w:val="both"/>
                        </w:pPr>
                        <w:r>
                          <w:rPr>
                            <w:b/>
                            <w:bCs/>
                            <w:color w:val="000000"/>
                          </w:rPr>
                          <w:t>или</w:t>
                        </w:r>
                      </w:p>
                      <w:p w:rsidR="00D14DEE" w:rsidRDefault="00203C10">
                        <w:pPr>
                          <w:pStyle w:val="a5"/>
                          <w:spacing w:before="0" w:beforeAutospacing="0" w:after="0" w:afterAutospacing="0"/>
                          <w:ind w:left="96" w:right="48"/>
                          <w:jc w:val="both"/>
                        </w:pPr>
                        <w:r>
                          <w:rPr>
                            <w:color w:val="000000"/>
                          </w:rPr>
                          <w:t xml:space="preserve">анти-ТОХО IgМ результат </w:t>
                        </w:r>
                        <w:r>
                          <w:rPr>
                            <w:color w:val="000000"/>
                            <w:u w:val="single"/>
                          </w:rPr>
                          <w:t>положительный</w:t>
                        </w:r>
                        <w:r>
                          <w:rPr>
                            <w:color w:val="000000"/>
                          </w:rPr>
                          <w:t> </w:t>
                        </w:r>
                      </w:p>
                      <w:p w:rsidR="00D14DEE" w:rsidRDefault="00203C10">
                        <w:pPr>
                          <w:pStyle w:val="a5"/>
                          <w:spacing w:before="0" w:beforeAutospacing="0" w:after="0" w:afterAutospacing="0"/>
                          <w:ind w:left="96" w:right="48"/>
                          <w:jc w:val="both"/>
                        </w:pPr>
                        <w:r>
                          <w:rPr>
                            <w:b/>
                            <w:bCs/>
                            <w:color w:val="000000"/>
                          </w:rPr>
                          <w:t>и</w:t>
                        </w:r>
                      </w:p>
                      <w:p w:rsidR="00D14DEE" w:rsidRDefault="00203C10">
                        <w:pPr>
                          <w:pStyle w:val="a5"/>
                          <w:spacing w:before="0" w:beforeAutospacing="0" w:after="72" w:afterAutospacing="0"/>
                          <w:ind w:left="96" w:right="48"/>
                          <w:jc w:val="both"/>
                        </w:pPr>
                        <w:r>
                          <w:rPr>
                            <w:color w:val="000000"/>
                          </w:rPr>
                          <w:t xml:space="preserve">анти-ТОХО IgG результат </w:t>
                        </w:r>
                        <w:r>
                          <w:rPr>
                            <w:color w:val="000000"/>
                            <w:u w:val="single"/>
                          </w:rPr>
                          <w:t>положительный</w:t>
                        </w:r>
                      </w:p>
                    </w:tc>
                    <w:tc>
                      <w:tcPr>
                        <w:tcW w:w="5922" w:type="dxa"/>
                        <w:vAlign w:val="center"/>
                      </w:tcPr>
                      <w:p w:rsidR="00D14DEE" w:rsidRDefault="00203C10">
                        <w:pPr>
                          <w:pStyle w:val="a5"/>
                          <w:ind w:left="96" w:right="48"/>
                          <w:jc w:val="both"/>
                        </w:pPr>
                        <w:r>
                          <w:rPr>
                            <w:color w:val="000000"/>
                          </w:rPr>
                          <w:t>Острая или подострая фаза заболевания (3-8% женщин детородного возраста).</w:t>
                        </w:r>
                      </w:p>
                      <w:p w:rsidR="00D14DEE" w:rsidRDefault="00203C10">
                        <w:pPr>
                          <w:pStyle w:val="a5"/>
                          <w:ind w:left="96" w:right="48"/>
                          <w:jc w:val="both"/>
                        </w:pPr>
                        <w:r>
                          <w:rPr>
                            <w:color w:val="000000"/>
                          </w:rPr>
                          <w:t>При наличии клинических симптомов лечение хлоридином (синонимы: тиндурин, дараприм, пириметамин). Одновременно назначают фолиевую кислоту и сульфаниламиды.</w:t>
                        </w:r>
                      </w:p>
                    </w:tc>
                  </w:tr>
                  <w:tr w:rsidR="00D14DEE">
                    <w:trPr>
                      <w:tblCellSpacing w:w="6" w:type="dxa"/>
                    </w:trPr>
                    <w:tc>
                      <w:tcPr>
                        <w:tcW w:w="440" w:type="dxa"/>
                        <w:vAlign w:val="center"/>
                      </w:tcPr>
                      <w:p w:rsidR="00D14DEE" w:rsidRDefault="00203C10">
                        <w:pPr>
                          <w:pStyle w:val="a5"/>
                          <w:ind w:left="96" w:right="48"/>
                          <w:jc w:val="both"/>
                        </w:pPr>
                        <w:r>
                          <w:rPr>
                            <w:color w:val="000000"/>
                          </w:rPr>
                          <w:t>3</w:t>
                        </w:r>
                        <w:r>
                          <w:t xml:space="preserve"> </w:t>
                        </w:r>
                      </w:p>
                    </w:tc>
                    <w:tc>
                      <w:tcPr>
                        <w:tcW w:w="1899" w:type="dxa"/>
                        <w:vAlign w:val="center"/>
                      </w:tcPr>
                      <w:p w:rsidR="00D14DEE" w:rsidRDefault="00203C10">
                        <w:pPr>
                          <w:pStyle w:val="a5"/>
                          <w:spacing w:before="72" w:beforeAutospacing="0" w:after="0" w:afterAutospacing="0"/>
                          <w:ind w:left="96" w:right="48"/>
                          <w:jc w:val="both"/>
                        </w:pPr>
                        <w:r>
                          <w:rPr>
                            <w:color w:val="000000"/>
                          </w:rPr>
                          <w:t xml:space="preserve">анти-ТОХО IgМ - результат </w:t>
                        </w:r>
                        <w:r>
                          <w:rPr>
                            <w:color w:val="000000"/>
                            <w:u w:val="single"/>
                          </w:rPr>
                          <w:t>отрицательный</w:t>
                        </w:r>
                        <w:r>
                          <w:rPr>
                            <w:color w:val="000000"/>
                          </w:rPr>
                          <w:t> </w:t>
                        </w:r>
                      </w:p>
                      <w:p w:rsidR="00D14DEE" w:rsidRDefault="00203C10">
                        <w:pPr>
                          <w:pStyle w:val="a5"/>
                          <w:spacing w:before="72" w:beforeAutospacing="0" w:after="72" w:afterAutospacing="0"/>
                          <w:ind w:left="96" w:right="48"/>
                          <w:jc w:val="both"/>
                        </w:pPr>
                        <w:r>
                          <w:rPr>
                            <w:b/>
                            <w:bCs/>
                            <w:color w:val="000000"/>
                          </w:rPr>
                          <w:t>и</w:t>
                        </w:r>
                      </w:p>
                      <w:p w:rsidR="00D14DEE" w:rsidRDefault="00203C10">
                        <w:pPr>
                          <w:pStyle w:val="a5"/>
                          <w:spacing w:before="0" w:beforeAutospacing="0" w:after="72" w:afterAutospacing="0"/>
                          <w:ind w:left="96" w:right="48"/>
                          <w:jc w:val="both"/>
                        </w:pPr>
                        <w:r>
                          <w:rPr>
                            <w:color w:val="000000"/>
                          </w:rPr>
                          <w:t xml:space="preserve">анти-ТОХО IgG результат </w:t>
                        </w:r>
                        <w:r>
                          <w:rPr>
                            <w:color w:val="000000"/>
                            <w:u w:val="single"/>
                          </w:rPr>
                          <w:t>положительный</w:t>
                        </w:r>
                      </w:p>
                    </w:tc>
                    <w:tc>
                      <w:tcPr>
                        <w:tcW w:w="5922" w:type="dxa"/>
                      </w:tcPr>
                      <w:p w:rsidR="00D14DEE" w:rsidRDefault="00203C10">
                        <w:pPr>
                          <w:pStyle w:val="a5"/>
                          <w:ind w:left="96" w:right="48"/>
                          <w:jc w:val="both"/>
                        </w:pPr>
                        <w:r>
                          <w:rPr>
                            <w:color w:val="000000"/>
                          </w:rPr>
                          <w:t>"Спокойная" группа. Наличие иммунитета (25-50% женщин детородного возраста в Москве, Европе, США, 31% - в Хабаровске, 90% - в Африке).</w:t>
                        </w:r>
                        <w:r>
                          <w:t xml:space="preserve"> </w:t>
                        </w:r>
                      </w:p>
                      <w:p w:rsidR="00D14DEE" w:rsidRDefault="00203C10">
                        <w:pPr>
                          <w:pStyle w:val="a5"/>
                          <w:ind w:left="96" w:right="48"/>
                          <w:jc w:val="both"/>
                        </w:pPr>
                        <w:r>
                          <w:rPr>
                            <w:color w:val="000000"/>
                          </w:rPr>
                          <w:t>Женщина переболела манифестной или скрытой формой токсоплазмоза. Лечение не требуется. Опасно только первичное заболевание во время беременности.</w:t>
                        </w:r>
                      </w:p>
                    </w:tc>
                  </w:tr>
                </w:tbl>
                <w:p w:rsidR="00D14DEE" w:rsidRDefault="00203C10">
                  <w:pPr>
                    <w:pStyle w:val="a5"/>
                    <w:ind w:left="96" w:right="48"/>
                    <w:jc w:val="both"/>
                  </w:pPr>
                  <w:r>
                    <w:rPr>
                      <w:i/>
                      <w:iCs/>
                      <w:color w:val="000000"/>
                      <w:sz w:val="27"/>
                      <w:szCs w:val="27"/>
                    </w:rPr>
                    <w:t> </w:t>
                  </w:r>
                  <w:r>
                    <w:rPr>
                      <w:color w:val="000000"/>
                    </w:rPr>
                    <w:t>В странах Европы (Франция, Австрия, Голландия) скрининг токсоплазмоза проводят в начале беременности. При наличии анти-ТОХО IgG и отсутствии анти-ТОХО IgМ беременность защищена и повторные анализы не нужны. При отсутствии анти-ТОХО IgG делают повторное исследование. При определении первичной инфекции с 4-х кратным подъемом титра антител риск передачи составляет 40%,  решается вопрос о прерывании беременности или проведении лечения. Возможны ложноположительные и ложноотрицательные результаты. Только после искусственного прерывания беременности можно точно определить, произошло ли на самом деле инфицирование плода. Во Франции, Австрии, ФРГ на 1000 новорожденных приходится 1-8 детей с врожденным токсоплазмозом [5].</w:t>
                  </w:r>
                </w:p>
                <w:p w:rsidR="00D14DEE" w:rsidRDefault="00203C10">
                  <w:pPr>
                    <w:pStyle w:val="a5"/>
                    <w:spacing w:before="0" w:beforeAutospacing="0" w:after="0" w:afterAutospacing="0"/>
                    <w:ind w:left="96" w:right="48" w:firstLine="384"/>
                    <w:jc w:val="both"/>
                  </w:pPr>
                  <w:r>
                    <w:t> </w:t>
                  </w:r>
                </w:p>
                <w:p w:rsidR="00D14DEE" w:rsidRDefault="00203C10">
                  <w:pPr>
                    <w:pStyle w:val="a5"/>
                    <w:spacing w:before="144" w:beforeAutospacing="0" w:after="144" w:afterAutospacing="0"/>
                    <w:ind w:left="96" w:right="48"/>
                    <w:jc w:val="both"/>
                    <w:rPr>
                      <w:b/>
                      <w:bCs/>
                    </w:rPr>
                  </w:pPr>
                  <w:r>
                    <w:rPr>
                      <w:color w:val="000000"/>
                    </w:rPr>
                    <w:t>Таблица 3.</w:t>
                  </w:r>
                  <w:r>
                    <w:rPr>
                      <w:b/>
                      <w:bCs/>
                      <w:color w:val="000000"/>
                    </w:rPr>
                    <w:t xml:space="preserve"> Выявление маркеров краснухи до беременности.</w:t>
                  </w:r>
                </w:p>
                <w:tbl>
                  <w:tblPr>
                    <w:tblW w:w="8129" w:type="dxa"/>
                    <w:tblCellSpacing w:w="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 w:type="dxa"/>
                      <w:left w:w="12" w:type="dxa"/>
                      <w:bottom w:w="12" w:type="dxa"/>
                      <w:right w:w="12" w:type="dxa"/>
                    </w:tblCellMar>
                    <w:tblLook w:val="0000" w:firstRow="0" w:lastRow="0" w:firstColumn="0" w:lastColumn="0" w:noHBand="0" w:noVBand="0"/>
                  </w:tblPr>
                  <w:tblGrid>
                    <w:gridCol w:w="466"/>
                    <w:gridCol w:w="2197"/>
                    <w:gridCol w:w="5466"/>
                  </w:tblGrid>
                  <w:tr w:rsidR="00D14DEE">
                    <w:trPr>
                      <w:tblCellSpacing w:w="6" w:type="dxa"/>
                    </w:trPr>
                    <w:tc>
                      <w:tcPr>
                        <w:tcW w:w="448" w:type="dxa"/>
                        <w:vAlign w:val="center"/>
                      </w:tcPr>
                      <w:p w:rsidR="00D14DEE" w:rsidRDefault="00203C10">
                        <w:pPr>
                          <w:pStyle w:val="a5"/>
                          <w:ind w:left="96" w:right="48"/>
                          <w:jc w:val="both"/>
                        </w:pPr>
                        <w:r>
                          <w:rPr>
                            <w:b/>
                            <w:bCs/>
                            <w:color w:val="000000"/>
                          </w:rPr>
                          <w:t>№</w:t>
                        </w:r>
                      </w:p>
                    </w:tc>
                    <w:tc>
                      <w:tcPr>
                        <w:tcW w:w="2185" w:type="dxa"/>
                        <w:vAlign w:val="center"/>
                      </w:tcPr>
                      <w:p w:rsidR="00D14DEE" w:rsidRDefault="00203C10">
                        <w:pPr>
                          <w:pStyle w:val="a5"/>
                          <w:ind w:left="96" w:right="48"/>
                          <w:jc w:val="both"/>
                        </w:pPr>
                        <w:r>
                          <w:rPr>
                            <w:b/>
                            <w:bCs/>
                            <w:color w:val="000000"/>
                          </w:rPr>
                          <w:t>Выявлены антитела против вируса краснухи</w:t>
                        </w:r>
                      </w:p>
                    </w:tc>
                    <w:tc>
                      <w:tcPr>
                        <w:tcW w:w="5448" w:type="dxa"/>
                        <w:vAlign w:val="center"/>
                      </w:tcPr>
                      <w:p w:rsidR="00D14DEE" w:rsidRDefault="00203C10">
                        <w:pPr>
                          <w:pStyle w:val="a5"/>
                          <w:ind w:left="96" w:right="48"/>
                          <w:jc w:val="both"/>
                        </w:pPr>
                        <w:r>
                          <w:rPr>
                            <w:b/>
                            <w:bCs/>
                            <w:color w:val="000000"/>
                          </w:rPr>
                          <w:t>Рекомендации</w:t>
                        </w:r>
                      </w:p>
                    </w:tc>
                  </w:tr>
                  <w:tr w:rsidR="00D14DEE">
                    <w:trPr>
                      <w:tblCellSpacing w:w="6" w:type="dxa"/>
                    </w:trPr>
                    <w:tc>
                      <w:tcPr>
                        <w:tcW w:w="448" w:type="dxa"/>
                        <w:vAlign w:val="center"/>
                      </w:tcPr>
                      <w:p w:rsidR="00D14DEE" w:rsidRDefault="00203C10">
                        <w:pPr>
                          <w:pStyle w:val="a5"/>
                          <w:ind w:left="96" w:right="48"/>
                          <w:jc w:val="both"/>
                        </w:pPr>
                        <w:r>
                          <w:rPr>
                            <w:color w:val="000000"/>
                          </w:rPr>
                          <w:t>1</w:t>
                        </w:r>
                        <w:r>
                          <w:t xml:space="preserve"> </w:t>
                        </w:r>
                      </w:p>
                    </w:tc>
                    <w:tc>
                      <w:tcPr>
                        <w:tcW w:w="2185" w:type="dxa"/>
                        <w:vAlign w:val="center"/>
                      </w:tcPr>
                      <w:p w:rsidR="00D14DEE" w:rsidRDefault="00203C10">
                        <w:pPr>
                          <w:pStyle w:val="a5"/>
                          <w:spacing w:before="0" w:beforeAutospacing="0" w:after="0" w:afterAutospacing="0"/>
                          <w:ind w:left="96" w:right="48"/>
                          <w:jc w:val="both"/>
                        </w:pPr>
                        <w:r>
                          <w:rPr>
                            <w:color w:val="000000"/>
                          </w:rPr>
                          <w:t xml:space="preserve">IgМ - результат </w:t>
                        </w:r>
                        <w:r>
                          <w:rPr>
                            <w:color w:val="000000"/>
                            <w:u w:val="single"/>
                          </w:rPr>
                          <w:t>отрицательный</w:t>
                        </w:r>
                        <w:r>
                          <w:rPr>
                            <w:color w:val="000000"/>
                          </w:rPr>
                          <w:t> </w:t>
                        </w:r>
                        <w:r>
                          <w:t xml:space="preserve"> </w:t>
                        </w:r>
                      </w:p>
                      <w:p w:rsidR="00D14DEE" w:rsidRDefault="00203C10">
                        <w:pPr>
                          <w:pStyle w:val="a5"/>
                          <w:spacing w:before="72" w:beforeAutospacing="0" w:after="72" w:afterAutospacing="0"/>
                          <w:ind w:left="96" w:right="48"/>
                          <w:jc w:val="both"/>
                        </w:pPr>
                        <w:r>
                          <w:rPr>
                            <w:b/>
                            <w:bCs/>
                            <w:color w:val="000000"/>
                          </w:rPr>
                          <w:t>и</w:t>
                        </w:r>
                        <w:r>
                          <w:rPr>
                            <w:color w:val="000000"/>
                          </w:rPr>
                          <w:t> </w:t>
                        </w:r>
                        <w:r>
                          <w:t xml:space="preserve"> </w:t>
                        </w:r>
                      </w:p>
                      <w:p w:rsidR="00D14DEE" w:rsidRDefault="00203C10">
                        <w:pPr>
                          <w:pStyle w:val="a5"/>
                          <w:spacing w:before="0" w:beforeAutospacing="0" w:after="0" w:afterAutospacing="0"/>
                          <w:ind w:left="96" w:right="48"/>
                          <w:jc w:val="both"/>
                        </w:pPr>
                        <w:r>
                          <w:rPr>
                            <w:color w:val="000000"/>
                          </w:rPr>
                          <w:t xml:space="preserve">IgG - результат </w:t>
                        </w:r>
                        <w:r>
                          <w:rPr>
                            <w:color w:val="000000"/>
                            <w:u w:val="single"/>
                          </w:rPr>
                          <w:t>отрицательный</w:t>
                        </w:r>
                        <w:r>
                          <w:t xml:space="preserve"> </w:t>
                        </w:r>
                      </w:p>
                    </w:tc>
                    <w:tc>
                      <w:tcPr>
                        <w:tcW w:w="5448" w:type="dxa"/>
                      </w:tcPr>
                      <w:p w:rsidR="00D14DEE" w:rsidRDefault="00203C10">
                        <w:pPr>
                          <w:pStyle w:val="a5"/>
                          <w:ind w:left="96" w:right="48"/>
                          <w:jc w:val="both"/>
                        </w:pPr>
                        <w:r>
                          <w:rPr>
                            <w:color w:val="000000"/>
                          </w:rPr>
                          <w:t>Иммунитет к краснухе отсутствует (у 10-30% женщин детородного возраста).</w:t>
                        </w:r>
                      </w:p>
                      <w:p w:rsidR="00D14DEE" w:rsidRDefault="00203C10">
                        <w:pPr>
                          <w:pStyle w:val="a5"/>
                          <w:ind w:left="96" w:right="48"/>
                          <w:jc w:val="both"/>
                        </w:pPr>
                        <w:r>
                          <w:rPr>
                            <w:color w:val="000000"/>
                          </w:rPr>
                          <w:t xml:space="preserve">Опасность заболеть краснухой во время беременности высока при эпидемических вспышках краснухи, при контакте с больными или вирусоносителями. Для профилактики краснухи во время беременности желательно сделать прививку. Можно сделать прививку без предварительного обследования, т.к. прививка безопасна для тех, у кого есть антитела к вирусу краснухи. </w:t>
                        </w:r>
                        <w:r>
                          <w:rPr>
                            <w:b/>
                            <w:bCs/>
                            <w:color w:val="000000"/>
                          </w:rPr>
                          <w:t>Сделать прививку следует не менее, чем за 2-3 месяца до зачатия.</w:t>
                        </w:r>
                      </w:p>
                    </w:tc>
                  </w:tr>
                  <w:tr w:rsidR="00D14DEE">
                    <w:trPr>
                      <w:tblCellSpacing w:w="6" w:type="dxa"/>
                    </w:trPr>
                    <w:tc>
                      <w:tcPr>
                        <w:tcW w:w="448" w:type="dxa"/>
                        <w:vAlign w:val="center"/>
                      </w:tcPr>
                      <w:p w:rsidR="00D14DEE" w:rsidRDefault="00203C10">
                        <w:pPr>
                          <w:pStyle w:val="a5"/>
                          <w:ind w:left="96" w:right="48"/>
                          <w:jc w:val="both"/>
                        </w:pPr>
                        <w:r>
                          <w:rPr>
                            <w:color w:val="000000"/>
                          </w:rPr>
                          <w:t>2</w:t>
                        </w:r>
                        <w:r>
                          <w:t xml:space="preserve"> </w:t>
                        </w:r>
                      </w:p>
                    </w:tc>
                    <w:tc>
                      <w:tcPr>
                        <w:tcW w:w="2185" w:type="dxa"/>
                        <w:vAlign w:val="center"/>
                      </w:tcPr>
                      <w:p w:rsidR="00D14DEE" w:rsidRDefault="00203C10">
                        <w:pPr>
                          <w:pStyle w:val="a5"/>
                          <w:spacing w:before="72" w:beforeAutospacing="0" w:after="0" w:afterAutospacing="0"/>
                          <w:ind w:right="48"/>
                          <w:jc w:val="both"/>
                        </w:pPr>
                        <w:r>
                          <w:rPr>
                            <w:color w:val="000000"/>
                          </w:rPr>
                          <w:t xml:space="preserve">IgМ результат </w:t>
                        </w:r>
                        <w:r>
                          <w:rPr>
                            <w:color w:val="000000"/>
                            <w:u w:val="single"/>
                          </w:rPr>
                          <w:t>положительный</w:t>
                        </w:r>
                        <w:r>
                          <w:rPr>
                            <w:color w:val="000000"/>
                          </w:rPr>
                          <w:t xml:space="preserve">, IgG - результат </w:t>
                        </w:r>
                        <w:r>
                          <w:rPr>
                            <w:color w:val="000000"/>
                            <w:u w:val="single"/>
                          </w:rPr>
                          <w:t>отрицательный</w:t>
                        </w:r>
                        <w:r>
                          <w:rPr>
                            <w:color w:val="000000"/>
                          </w:rPr>
                          <w:t> </w:t>
                        </w:r>
                        <w:r>
                          <w:t xml:space="preserve"> </w:t>
                        </w:r>
                      </w:p>
                      <w:p w:rsidR="00D14DEE" w:rsidRDefault="00203C10">
                        <w:pPr>
                          <w:pStyle w:val="a5"/>
                          <w:spacing w:before="72" w:beforeAutospacing="0" w:after="72" w:afterAutospacing="0"/>
                          <w:ind w:right="48"/>
                          <w:jc w:val="both"/>
                        </w:pPr>
                        <w:r>
                          <w:rPr>
                            <w:b/>
                            <w:bCs/>
                            <w:color w:val="000000"/>
                          </w:rPr>
                          <w:t>или</w:t>
                        </w:r>
                        <w:r>
                          <w:t xml:space="preserve"> </w:t>
                        </w:r>
                      </w:p>
                      <w:p w:rsidR="00D14DEE" w:rsidRDefault="00203C10">
                        <w:pPr>
                          <w:pStyle w:val="a5"/>
                          <w:spacing w:before="0" w:beforeAutospacing="0" w:after="72" w:afterAutospacing="0"/>
                          <w:ind w:right="48"/>
                          <w:jc w:val="both"/>
                        </w:pPr>
                        <w:r>
                          <w:rPr>
                            <w:color w:val="000000"/>
                          </w:rPr>
                          <w:t xml:space="preserve">IgМ результат </w:t>
                        </w:r>
                        <w:r>
                          <w:rPr>
                            <w:color w:val="000000"/>
                            <w:u w:val="single"/>
                          </w:rPr>
                          <w:t>положительный</w:t>
                        </w:r>
                        <w:r>
                          <w:rPr>
                            <w:color w:val="000000"/>
                          </w:rPr>
                          <w:t xml:space="preserve">, IgG результат </w:t>
                        </w:r>
                        <w:r>
                          <w:rPr>
                            <w:color w:val="000000"/>
                            <w:u w:val="single"/>
                          </w:rPr>
                          <w:t>положительный</w:t>
                        </w:r>
                        <w:r>
                          <w:t xml:space="preserve"> </w:t>
                        </w:r>
                      </w:p>
                    </w:tc>
                    <w:tc>
                      <w:tcPr>
                        <w:tcW w:w="5448" w:type="dxa"/>
                        <w:vAlign w:val="center"/>
                      </w:tcPr>
                      <w:p w:rsidR="00D14DEE" w:rsidRDefault="00203C10">
                        <w:pPr>
                          <w:pStyle w:val="a5"/>
                          <w:ind w:left="96" w:right="48"/>
                          <w:jc w:val="both"/>
                        </w:pPr>
                        <w:r>
                          <w:rPr>
                            <w:color w:val="000000"/>
                          </w:rPr>
                          <w:t>Острая и подострая фаза заболевания</w:t>
                        </w:r>
                      </w:p>
                    </w:tc>
                  </w:tr>
                  <w:tr w:rsidR="00D14DEE">
                    <w:trPr>
                      <w:tblCellSpacing w:w="6" w:type="dxa"/>
                    </w:trPr>
                    <w:tc>
                      <w:tcPr>
                        <w:tcW w:w="448" w:type="dxa"/>
                        <w:vAlign w:val="center"/>
                      </w:tcPr>
                      <w:p w:rsidR="00D14DEE" w:rsidRDefault="00203C10">
                        <w:pPr>
                          <w:pStyle w:val="a5"/>
                          <w:ind w:left="96" w:right="48"/>
                          <w:jc w:val="both"/>
                        </w:pPr>
                        <w:r>
                          <w:rPr>
                            <w:color w:val="000000"/>
                          </w:rPr>
                          <w:t>3</w:t>
                        </w:r>
                        <w:r>
                          <w:t xml:space="preserve"> </w:t>
                        </w:r>
                      </w:p>
                    </w:tc>
                    <w:tc>
                      <w:tcPr>
                        <w:tcW w:w="2185" w:type="dxa"/>
                        <w:vAlign w:val="center"/>
                      </w:tcPr>
                      <w:p w:rsidR="00D14DEE" w:rsidRDefault="00203C10">
                        <w:pPr>
                          <w:pStyle w:val="a5"/>
                          <w:ind w:left="96" w:right="48"/>
                          <w:jc w:val="both"/>
                        </w:pPr>
                        <w:r>
                          <w:rPr>
                            <w:color w:val="000000"/>
                          </w:rPr>
                          <w:t xml:space="preserve">IgМ- результат </w:t>
                        </w:r>
                        <w:r>
                          <w:rPr>
                            <w:color w:val="000000"/>
                            <w:u w:val="single"/>
                          </w:rPr>
                          <w:t>отрицательный</w:t>
                        </w:r>
                        <w:r>
                          <w:rPr>
                            <w:color w:val="000000"/>
                          </w:rPr>
                          <w:t xml:space="preserve"> и IgG результат </w:t>
                        </w:r>
                        <w:r>
                          <w:rPr>
                            <w:color w:val="000000"/>
                            <w:u w:val="single"/>
                          </w:rPr>
                          <w:t>положительный</w:t>
                        </w:r>
                        <w:r>
                          <w:t xml:space="preserve"> </w:t>
                        </w:r>
                      </w:p>
                    </w:tc>
                    <w:tc>
                      <w:tcPr>
                        <w:tcW w:w="5448" w:type="dxa"/>
                      </w:tcPr>
                      <w:p w:rsidR="00D14DEE" w:rsidRDefault="00203C10">
                        <w:pPr>
                          <w:pStyle w:val="a5"/>
                          <w:ind w:left="96" w:right="48"/>
                          <w:jc w:val="both"/>
                        </w:pPr>
                        <w:r>
                          <w:rPr>
                            <w:color w:val="000000"/>
                          </w:rPr>
                          <w:t>Наличие защитного иммунитета, регистрируется у 60-90% женщин детородного возраста. Женщина переболела краснухой в типичной или стертой форме (без сыпи). Второй раз краснухой не болеют. Оснований для беспокойства нет.</w:t>
                        </w:r>
                      </w:p>
                    </w:tc>
                  </w:tr>
                </w:tbl>
                <w:p w:rsidR="00D14DEE" w:rsidRDefault="00203C10">
                  <w:pPr>
                    <w:pStyle w:val="a5"/>
                    <w:spacing w:before="144" w:beforeAutospacing="0" w:after="0" w:afterAutospacing="0"/>
                    <w:ind w:left="96" w:right="48" w:firstLine="384"/>
                    <w:jc w:val="both"/>
                  </w:pPr>
                  <w:r>
                    <w:rPr>
                      <w:color w:val="000000"/>
                    </w:rPr>
                    <w:t>Ранее в России большинство детей переболевали краснухой в раннем возрасте, поэтому краснуха беременных и краснушная эмбриопатия не были большой проблемой. В настоящее время большая часть детей воспитывается дома, и существует опасность более высокого риска врожденной краснухи в будущем. Поэтому важно вакцинировать девочек в возрасте 12-14 лет и женщин детородного возраста. При заражении женщины краснухой до 17 недель беременности риск эмбриопатий составляет 40-50%. При подтверждении диагноза серологическими тестами показано срочное прерывание беременности. При обследовании в более поздние сроки гестации при выявлении "антирубелла IgМ +" риск эмбриопатий меньше, но безопасный прогноз не гарантирован.</w:t>
                  </w:r>
                  <w:r>
                    <w:t xml:space="preserve"> </w:t>
                  </w:r>
                </w:p>
                <w:p w:rsidR="00D14DEE" w:rsidRDefault="00203C10">
                  <w:pPr>
                    <w:pStyle w:val="a5"/>
                    <w:spacing w:before="0" w:beforeAutospacing="0" w:after="0" w:afterAutospacing="0"/>
                    <w:ind w:left="96" w:right="48" w:firstLine="384"/>
                    <w:jc w:val="both"/>
                  </w:pPr>
                  <w:r>
                    <w:rPr>
                      <w:color w:val="000000"/>
                    </w:rPr>
                    <w:t>Заражение беременных в первую половину беременности парвовирусом В</w:t>
                  </w:r>
                  <w:r>
                    <w:rPr>
                      <w:color w:val="000000"/>
                      <w:vertAlign w:val="subscript"/>
                    </w:rPr>
                    <w:t>19</w:t>
                  </w:r>
                  <w:r>
                    <w:rPr>
                      <w:color w:val="000000"/>
                    </w:rPr>
                    <w:t xml:space="preserve"> может привести к эмбриопатии. Парвовирусная В</w:t>
                  </w:r>
                  <w:r>
                    <w:rPr>
                      <w:color w:val="000000"/>
                      <w:vertAlign w:val="subscript"/>
                    </w:rPr>
                    <w:t>19</w:t>
                  </w:r>
                  <w:r>
                    <w:rPr>
                      <w:color w:val="000000"/>
                    </w:rPr>
                    <w:t>-инфекция характеризуется незначительным нарушением общего состояния, невысокой температурой, сыпью (симметричной, часто флюктуирующей, кружевной на туловище и конечностях и сливной на щеках), иногда артралгиями. Риск врожденной инфекции недостаточно изучен.</w:t>
                  </w:r>
                </w:p>
                <w:p w:rsidR="00D14DEE" w:rsidRDefault="00203C10">
                  <w:pPr>
                    <w:pStyle w:val="a5"/>
                    <w:spacing w:before="0" w:beforeAutospacing="0" w:after="0" w:afterAutospacing="0"/>
                    <w:ind w:left="96" w:right="48" w:firstLine="384"/>
                    <w:jc w:val="both"/>
                  </w:pPr>
                  <w:r>
                    <w:rPr>
                      <w:color w:val="000000"/>
                    </w:rPr>
                    <w:t>В последние годы в России наблюдается рост заболеваемости сифилисом и гепатитами с парентеральным путем заражения. Нелеченный или плохо леченный сифилис беременной женщины приводит к тяжелым формам врожденного сифилиса с инвалидизацией детей, мертворождению, рождению детей с пороками развития. Поэтому важно выявить и вылечить сифилис до беременности.</w:t>
                  </w:r>
                  <w:r>
                    <w:t xml:space="preserve"> </w:t>
                  </w:r>
                </w:p>
                <w:p w:rsidR="00D14DEE" w:rsidRDefault="00203C10">
                  <w:pPr>
                    <w:pStyle w:val="a5"/>
                    <w:spacing w:before="0" w:beforeAutospacing="0" w:after="0" w:afterAutospacing="0"/>
                    <w:ind w:left="96" w:right="48" w:firstLine="384"/>
                    <w:jc w:val="both"/>
                  </w:pPr>
                  <w:r>
                    <w:rPr>
                      <w:color w:val="000000"/>
                    </w:rPr>
                    <w:t>Свежая инфекция вирусным гепатитом В или носительство HbsAg может привести к вертикальной передаче инфекции в пре-, интра- или постнатальный период. Инфицирование в раннем возрасте часто связано с формированием хронического гепатита с высокой вероятностью исхода в цирроз и гепатоцеллюлярную карциному. Риск вертикальной передачи при свежем инфицировании - 90%, при носительстве антигена - 60%.</w:t>
                  </w:r>
                  <w:r>
                    <w:t xml:space="preserve"> </w:t>
                  </w:r>
                </w:p>
                <w:p w:rsidR="00D14DEE" w:rsidRDefault="00203C10">
                  <w:pPr>
                    <w:pStyle w:val="a5"/>
                    <w:spacing w:before="0" w:beforeAutospacing="0" w:after="0" w:afterAutospacing="0"/>
                    <w:ind w:left="96" w:right="48" w:firstLine="384"/>
                    <w:jc w:val="both"/>
                  </w:pPr>
                  <w:r>
                    <w:rPr>
                      <w:color w:val="000000"/>
                    </w:rPr>
                    <w:t>Согласно приказа Минздравмедпрома России № 226/79 от 03.06.96 и национального календаря профилактических прививок от 18.12.97 введена сплошная вакцинация новорожденных против гепатита В вне зависимости от уровня носительства HbsAg. Эта мера направлена на предотвращение ракового заболевания печени и снижения уровня носительства в популяции. Учитывая, что вирус гепатита В может передаваться через разные биологические жидкости: слюну, кровь, сперму, вагинальный секрет, менструальную кровь - матери-вирусоносители должны тщательно соблюдать санитарно-гигиенические правила по уходу за ребенком, избегать близких контактов особенно до выработки у ребенка постпрививочного иммунитета.</w:t>
                  </w:r>
                  <w:r>
                    <w:t xml:space="preserve"> </w:t>
                  </w:r>
                </w:p>
                <w:p w:rsidR="00D14DEE" w:rsidRDefault="00203C10">
                  <w:pPr>
                    <w:pStyle w:val="a5"/>
                    <w:spacing w:before="0" w:beforeAutospacing="0" w:after="0" w:afterAutospacing="0"/>
                    <w:ind w:left="96" w:right="48" w:firstLine="384"/>
                    <w:jc w:val="both"/>
                    <w:rPr>
                      <w:i/>
                      <w:iCs/>
                      <w:color w:val="000000"/>
                      <w:sz w:val="27"/>
                      <w:szCs w:val="27"/>
                    </w:rPr>
                  </w:pPr>
                  <w:r>
                    <w:rPr>
                      <w:i/>
                      <w:iCs/>
                      <w:color w:val="000000"/>
                      <w:sz w:val="27"/>
                      <w:szCs w:val="27"/>
                    </w:rPr>
                    <w:t> </w:t>
                  </w:r>
                </w:p>
                <w:p w:rsidR="00D14DEE" w:rsidRDefault="00203C10">
                  <w:pPr>
                    <w:pStyle w:val="a5"/>
                    <w:spacing w:before="0" w:beforeAutospacing="0" w:after="144" w:afterAutospacing="0"/>
                    <w:ind w:left="96" w:right="48" w:firstLine="384"/>
                    <w:jc w:val="both"/>
                    <w:rPr>
                      <w:b/>
                      <w:bCs/>
                    </w:rPr>
                  </w:pPr>
                  <w:bookmarkStart w:id="0" w:name="lit"/>
                  <w:bookmarkEnd w:id="0"/>
                  <w:r>
                    <w:rPr>
                      <w:b/>
                      <w:bCs/>
                      <w:color w:val="000000"/>
                    </w:rPr>
                    <w:t>Литература:</w:t>
                  </w:r>
                </w:p>
                <w:p w:rsidR="00D14DEE" w:rsidRDefault="00203C10">
                  <w:pPr>
                    <w:pStyle w:val="a5"/>
                    <w:spacing w:before="0" w:beforeAutospacing="0" w:after="0" w:afterAutospacing="0"/>
                    <w:ind w:left="96" w:right="48" w:firstLine="384"/>
                  </w:pPr>
                  <w:r>
                    <w:rPr>
                      <w:b/>
                      <w:bCs/>
                      <w:color w:val="000000"/>
                    </w:rPr>
                    <w:t>1</w:t>
                  </w:r>
                  <w:r>
                    <w:rPr>
                      <w:color w:val="000000"/>
                    </w:rPr>
                    <w:t>. Отраслевые стандарты объемов обследования и лечения в акушерстве, гинекологии и неонатологии. Под ред. В.И. Кулакова, В.Н. Серова, Ю.И. Барашнева. - М., 1999. - с. 247.</w:t>
                  </w:r>
                </w:p>
                <w:p w:rsidR="00D14DEE" w:rsidRDefault="00203C10">
                  <w:pPr>
                    <w:pStyle w:val="a5"/>
                    <w:spacing w:before="0" w:beforeAutospacing="0" w:after="0" w:afterAutospacing="0"/>
                    <w:ind w:left="96" w:right="48" w:firstLine="384"/>
                  </w:pPr>
                  <w:r>
                    <w:rPr>
                      <w:color w:val="000000"/>
                    </w:rPr>
                    <w:t>2. Т.В. Семенова, Д.Г. Красников, А.Р. Судариков // Акуш. и гинекологических., 1990, №6. - с. 70-75.</w:t>
                  </w:r>
                </w:p>
                <w:p w:rsidR="00D14DEE" w:rsidRDefault="00203C10">
                  <w:pPr>
                    <w:pStyle w:val="a5"/>
                    <w:spacing w:before="0" w:beforeAutospacing="0" w:after="0" w:afterAutospacing="0"/>
                    <w:ind w:left="96" w:right="48" w:firstLine="384"/>
                    <w:rPr>
                      <w:lang w:val="en-US"/>
                    </w:rPr>
                  </w:pPr>
                  <w:r>
                    <w:rPr>
                      <w:color w:val="000000"/>
                    </w:rPr>
                    <w:t>3. В.К. Таточенко. Педиатру на каждый день. Справочник по лекарственной терапии. М</w:t>
                  </w:r>
                  <w:r>
                    <w:rPr>
                      <w:color w:val="000000"/>
                      <w:lang w:val="en-US"/>
                    </w:rPr>
                    <w:t>., 1997</w:t>
                  </w:r>
                </w:p>
                <w:p w:rsidR="00D14DEE" w:rsidRDefault="00203C10">
                  <w:pPr>
                    <w:pStyle w:val="a5"/>
                    <w:spacing w:before="0" w:beforeAutospacing="0" w:after="0" w:afterAutospacing="0"/>
                    <w:ind w:left="96" w:right="48" w:firstLine="384"/>
                    <w:rPr>
                      <w:lang w:val="en-US"/>
                    </w:rPr>
                  </w:pPr>
                  <w:r>
                    <w:rPr>
                      <w:color w:val="000000"/>
                      <w:lang w:val="en-US"/>
                    </w:rPr>
                    <w:t>4. T.I. Libro, E. Domenech, R. Gastro et all.// An. Esp. Pediat. (</w:t>
                  </w:r>
                  <w:r>
                    <w:rPr>
                      <w:color w:val="000000"/>
                    </w:rPr>
                    <w:t>исп</w:t>
                  </w:r>
                  <w:r>
                    <w:rPr>
                      <w:color w:val="000000"/>
                      <w:lang w:val="en-US"/>
                    </w:rPr>
                    <w:t>.) - 1997. - p 58-62</w:t>
                  </w:r>
                  <w:r>
                    <w:rPr>
                      <w:lang w:val="en-US"/>
                    </w:rPr>
                    <w:t xml:space="preserve"> </w:t>
                  </w:r>
                </w:p>
                <w:p w:rsidR="00D14DEE" w:rsidRDefault="00203C10">
                  <w:pPr>
                    <w:pStyle w:val="a5"/>
                    <w:spacing w:before="0" w:beforeAutospacing="0" w:after="0" w:afterAutospacing="0"/>
                    <w:ind w:left="96" w:right="48" w:firstLine="384"/>
                    <w:rPr>
                      <w:lang w:val="en-US"/>
                    </w:rPr>
                  </w:pPr>
                  <w:r>
                    <w:rPr>
                      <w:color w:val="000000"/>
                      <w:lang w:val="en-US"/>
                    </w:rPr>
                    <w:t>5. W.J. Kolloffel, J.A. Kaan. Toxoplasmosis. // Pharm. Weeklad, 1995; 130 (1): 10-6.</w:t>
                  </w:r>
                  <w:r>
                    <w:rPr>
                      <w:lang w:val="en-US"/>
                    </w:rPr>
                    <w:t xml:space="preserve"> </w:t>
                  </w:r>
                </w:p>
                <w:p w:rsidR="00D14DEE" w:rsidRDefault="00203C10">
                  <w:pPr>
                    <w:pStyle w:val="a5"/>
                    <w:jc w:val="both"/>
                    <w:rPr>
                      <w:lang w:val="en-US"/>
                    </w:rPr>
                  </w:pPr>
                  <w:r>
                    <w:rPr>
                      <w:i/>
                      <w:iCs/>
                      <w:color w:val="000000"/>
                      <w:lang w:val="en-US"/>
                    </w:rPr>
                    <w:t> </w:t>
                  </w:r>
                  <w:r>
                    <w:rPr>
                      <w:i/>
                      <w:iCs/>
                      <w:lang w:val="en-US"/>
                    </w:rPr>
                    <w:t xml:space="preserve"> </w:t>
                  </w:r>
                </w:p>
              </w:tc>
            </w:tr>
          </w:tbl>
          <w:p w:rsidR="00D14DEE" w:rsidRDefault="00D14DEE">
            <w:pPr>
              <w:spacing w:line="12" w:lineRule="atLeast"/>
              <w:jc w:val="both"/>
            </w:pPr>
          </w:p>
        </w:tc>
      </w:tr>
    </w:tbl>
    <w:p w:rsidR="00D14DEE" w:rsidRDefault="00203C10">
      <w:pPr>
        <w:pStyle w:val="a5"/>
        <w:jc w:val="both"/>
      </w:pPr>
      <w:r>
        <w:t> </w:t>
      </w:r>
      <w:bookmarkStart w:id="1" w:name="_GoBack"/>
      <w:bookmarkEnd w:id="1"/>
    </w:p>
    <w:sectPr w:rsidR="00D14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C10"/>
    <w:rsid w:val="001A72D6"/>
    <w:rsid w:val="00203C10"/>
    <w:rsid w:val="00D1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37BC3-404B-4E6B-9B35-3CFF630C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0000FF"/>
      <w:u w:val="single"/>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1052;&#1086;&#1080;%20&#1076;&#1086;&#1082;&#1091;&#1084;&#1077;&#1085;&#1090;&#1099;/Refer/&#1041;&#1077;&#1088;&#1077;&#1084;&#1077;&#1085;&#1085;.files/1.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Обследование женщин при подготовке к беременности</vt:lpstr>
    </vt:vector>
  </TitlesOfParts>
  <Company>ЧГМА</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Обследование женщин при подготовке к беременности</dc:title>
  <dc:subject/>
  <dc:creator>Ефимчик</dc:creator>
  <cp:keywords/>
  <dc:description/>
  <cp:lastModifiedBy>admin</cp:lastModifiedBy>
  <cp:revision>2</cp:revision>
  <dcterms:created xsi:type="dcterms:W3CDTF">2014-04-11T18:41:00Z</dcterms:created>
  <dcterms:modified xsi:type="dcterms:W3CDTF">2014-04-11T18:41:00Z</dcterms:modified>
</cp:coreProperties>
</file>