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BB" w:rsidRDefault="00C13EBB" w:rsidP="00585053">
      <w:pPr>
        <w:spacing w:after="0" w:line="20" w:lineRule="atLeast"/>
        <w:jc w:val="center"/>
        <w:rPr>
          <w:rFonts w:ascii="Times New Roman" w:hAnsi="Times New Roman"/>
          <w:kern w:val="36"/>
          <w:lang w:eastAsia="ru-RU"/>
        </w:rPr>
      </w:pPr>
    </w:p>
    <w:p w:rsidR="009022BC" w:rsidRPr="006C2E42" w:rsidRDefault="009022BC" w:rsidP="00585053">
      <w:pPr>
        <w:spacing w:after="0" w:line="20" w:lineRule="atLeast"/>
        <w:jc w:val="center"/>
        <w:rPr>
          <w:rFonts w:ascii="Times New Roman" w:hAnsi="Times New Roman"/>
          <w:kern w:val="36"/>
          <w:lang w:eastAsia="ru-RU"/>
        </w:rPr>
      </w:pPr>
      <w:r w:rsidRPr="006C2E42">
        <w:rPr>
          <w:rFonts w:ascii="Times New Roman" w:hAnsi="Times New Roman"/>
          <w:kern w:val="36"/>
          <w:lang w:eastAsia="ru-RU"/>
        </w:rPr>
        <w:t>Федеральное агентство по образованию</w:t>
      </w:r>
    </w:p>
    <w:p w:rsidR="009022BC" w:rsidRPr="006C2E42" w:rsidRDefault="009022BC" w:rsidP="00585053">
      <w:pPr>
        <w:spacing w:after="0" w:line="20" w:lineRule="atLeast"/>
        <w:jc w:val="center"/>
        <w:rPr>
          <w:rFonts w:ascii="Times New Roman" w:hAnsi="Times New Roman"/>
          <w:kern w:val="36"/>
          <w:lang w:eastAsia="ru-RU"/>
        </w:rPr>
      </w:pPr>
      <w:r w:rsidRPr="006C2E42">
        <w:rPr>
          <w:rFonts w:ascii="Times New Roman" w:hAnsi="Times New Roman"/>
          <w:kern w:val="36"/>
          <w:lang w:eastAsia="ru-RU"/>
        </w:rPr>
        <w:t>Государственное образовательное учреждение</w:t>
      </w:r>
    </w:p>
    <w:p w:rsidR="009022BC" w:rsidRPr="006C2E42" w:rsidRDefault="009022BC" w:rsidP="00585053">
      <w:pPr>
        <w:spacing w:after="0" w:line="20" w:lineRule="atLeast"/>
        <w:jc w:val="center"/>
        <w:rPr>
          <w:rFonts w:ascii="Times New Roman" w:hAnsi="Times New Roman"/>
          <w:kern w:val="36"/>
          <w:lang w:eastAsia="ru-RU"/>
        </w:rPr>
      </w:pPr>
      <w:r w:rsidRPr="006C2E42">
        <w:rPr>
          <w:rFonts w:ascii="Times New Roman" w:hAnsi="Times New Roman"/>
          <w:kern w:val="36"/>
          <w:lang w:eastAsia="ru-RU"/>
        </w:rPr>
        <w:t xml:space="preserve"> высшего профессионального образования </w:t>
      </w:r>
    </w:p>
    <w:p w:rsidR="009022BC" w:rsidRPr="002200E5" w:rsidRDefault="009022BC" w:rsidP="00585053">
      <w:pPr>
        <w:spacing w:after="0" w:line="20" w:lineRule="atLeast"/>
        <w:jc w:val="center"/>
        <w:rPr>
          <w:rFonts w:ascii="Times New Roman" w:hAnsi="Times New Roman"/>
          <w:kern w:val="36"/>
          <w:lang w:eastAsia="ru-RU"/>
        </w:rPr>
      </w:pPr>
      <w:r w:rsidRPr="006C2E42">
        <w:rPr>
          <w:rFonts w:ascii="Times New Roman" w:hAnsi="Times New Roman"/>
          <w:kern w:val="36"/>
          <w:lang w:eastAsia="ru-RU"/>
        </w:rPr>
        <w:t>Ульяновский государственный технический университет</w:t>
      </w:r>
    </w:p>
    <w:p w:rsidR="009022BC" w:rsidRPr="00585053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lang w:eastAsia="ru-RU"/>
        </w:rPr>
      </w:pPr>
      <w:r>
        <w:rPr>
          <w:rFonts w:ascii="Times New Roman" w:hAnsi="Times New Roman"/>
          <w:kern w:val="36"/>
          <w:lang w:eastAsia="ru-RU"/>
        </w:rPr>
        <w:t>Кафедра «Бухгалтерский учет и аудит»</w:t>
      </w: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lang w:eastAsia="ru-RU"/>
        </w:rPr>
      </w:pPr>
    </w:p>
    <w:p w:rsidR="009022BC" w:rsidRPr="002200E5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lang w:eastAsia="ru-RU"/>
        </w:rPr>
      </w:pPr>
      <w:r>
        <w:rPr>
          <w:rFonts w:ascii="Times New Roman" w:hAnsi="Times New Roman"/>
          <w:kern w:val="36"/>
          <w:lang w:eastAsia="ru-RU"/>
        </w:rPr>
        <w:t>Специальность 08010965 «Бухгалтерский учет, анализ и аудит»</w:t>
      </w: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b/>
          <w:kern w:val="36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b/>
          <w:kern w:val="36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b/>
          <w:kern w:val="36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b/>
          <w:kern w:val="36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6C2E42">
        <w:rPr>
          <w:rFonts w:ascii="Times New Roman" w:hAnsi="Times New Roman"/>
          <w:b/>
          <w:kern w:val="36"/>
          <w:sz w:val="44"/>
          <w:szCs w:val="44"/>
          <w:lang w:eastAsia="ru-RU"/>
        </w:rPr>
        <w:t>РЕФЕРАТ</w:t>
      </w:r>
      <w:r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Pr="007C6EC6">
        <w:rPr>
          <w:rFonts w:ascii="Times New Roman" w:hAnsi="Times New Roman"/>
          <w:b/>
          <w:kern w:val="36"/>
          <w:sz w:val="24"/>
          <w:szCs w:val="24"/>
          <w:lang w:eastAsia="ru-RU"/>
        </w:rPr>
        <w:t>на тему:</w:t>
      </w:r>
    </w:p>
    <w:p w:rsidR="009022BC" w:rsidRPr="00585053" w:rsidRDefault="009022BC" w:rsidP="00585053">
      <w:pPr>
        <w:spacing w:after="120" w:line="100" w:lineRule="atLeast"/>
        <w:rPr>
          <w:rFonts w:ascii="Times New Roman" w:hAnsi="Times New Roman"/>
          <w:kern w:val="36"/>
          <w:sz w:val="32"/>
          <w:szCs w:val="32"/>
          <w:lang w:eastAsia="ru-RU"/>
        </w:rPr>
      </w:pPr>
      <w:r w:rsidRPr="00585053">
        <w:rPr>
          <w:rFonts w:ascii="Times New Roman" w:hAnsi="Times New Roman"/>
          <w:kern w:val="36"/>
          <w:sz w:val="32"/>
          <w:szCs w:val="32"/>
          <w:lang w:eastAsia="ru-RU"/>
        </w:rPr>
        <w:t>Объекты учета затрат и калькулирование себестоимости продукции</w:t>
      </w: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Выполнила:</w:t>
      </w: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студентка  гр. Баду-31</w:t>
      </w: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Прокофьева М.С.</w:t>
      </w: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spacing w:after="120" w:line="100" w:lineRule="atLeast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22BC" w:rsidRDefault="009022BC" w:rsidP="00585053">
      <w:pPr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Ульяновск 2009</w:t>
      </w:r>
    </w:p>
    <w:p w:rsidR="009022BC" w:rsidRDefault="009022BC" w:rsidP="00C03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Оглавление</w:t>
      </w:r>
    </w:p>
    <w:p w:rsidR="009022BC" w:rsidRPr="00D858D9" w:rsidRDefault="009022BC" w:rsidP="00D85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3</w:t>
      </w:r>
    </w:p>
    <w:p w:rsidR="009022BC" w:rsidRPr="00D858D9" w:rsidRDefault="009022BC" w:rsidP="00D85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8D9">
        <w:rPr>
          <w:rFonts w:ascii="Times New Roman" w:hAnsi="Times New Roman"/>
          <w:sz w:val="28"/>
          <w:szCs w:val="28"/>
        </w:rPr>
        <w:t>Объекты учета затрат на производство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4</w:t>
      </w:r>
    </w:p>
    <w:p w:rsidR="009022BC" w:rsidRDefault="009022BC" w:rsidP="00D8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D858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8D9">
        <w:rPr>
          <w:rFonts w:ascii="Times New Roman" w:hAnsi="Times New Roman"/>
          <w:color w:val="202020"/>
          <w:sz w:val="28"/>
          <w:szCs w:val="28"/>
          <w:lang w:eastAsia="ru-RU"/>
        </w:rPr>
        <w:t>Калькулирование себестоимости продукции, роль калькулирования</w:t>
      </w:r>
    </w:p>
    <w:p w:rsidR="009022BC" w:rsidRDefault="009022BC" w:rsidP="00D8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D858D9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в управлении производство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                                                                            6</w:t>
      </w:r>
    </w:p>
    <w:p w:rsidR="009022BC" w:rsidRPr="00D858D9" w:rsidRDefault="009022BC" w:rsidP="00D8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3. Расчет общей суммы издержек и определение цены продукции                  9                                                                    </w:t>
      </w:r>
    </w:p>
    <w:p w:rsidR="009022BC" w:rsidRDefault="009022BC" w:rsidP="00D85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22BC" w:rsidRPr="00D858D9" w:rsidRDefault="009022BC" w:rsidP="00D85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                      14</w:t>
      </w:r>
    </w:p>
    <w:p w:rsidR="009022BC" w:rsidRPr="00D858D9" w:rsidRDefault="009022BC" w:rsidP="00D858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>Список используемой литературы                                                                       15</w:t>
      </w:r>
      <w:r w:rsidRPr="00D858D9">
        <w:rPr>
          <w:b/>
          <w:sz w:val="28"/>
          <w:szCs w:val="28"/>
        </w:rPr>
        <w:br w:type="page"/>
      </w:r>
      <w:r w:rsidRPr="00D858D9">
        <w:rPr>
          <w:rFonts w:ascii="Times New Roman" w:hAnsi="Times New Roman"/>
          <w:b/>
          <w:sz w:val="28"/>
          <w:szCs w:val="28"/>
        </w:rPr>
        <w:t>1.</w:t>
      </w:r>
      <w:r w:rsidRPr="00D858D9">
        <w:rPr>
          <w:b/>
          <w:sz w:val="28"/>
          <w:szCs w:val="28"/>
        </w:rPr>
        <w:t xml:space="preserve"> </w:t>
      </w:r>
    </w:p>
    <w:p w:rsidR="009022BC" w:rsidRPr="00D858D9" w:rsidRDefault="009022BC" w:rsidP="00D858D9">
      <w:pPr>
        <w:pStyle w:val="2"/>
        <w:rPr>
          <w:sz w:val="28"/>
          <w:szCs w:val="28"/>
        </w:rPr>
      </w:pPr>
      <w:r w:rsidRPr="00D858D9">
        <w:rPr>
          <w:sz w:val="28"/>
          <w:szCs w:val="28"/>
        </w:rPr>
        <w:t>Введение</w:t>
      </w:r>
    </w:p>
    <w:p w:rsidR="009022BC" w:rsidRPr="00D858D9" w:rsidRDefault="009022BC" w:rsidP="00D858D9">
      <w:pPr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2BC" w:rsidRPr="00D858D9" w:rsidRDefault="009022BC" w:rsidP="00D858D9">
      <w:pPr>
        <w:pStyle w:val="21"/>
        <w:jc w:val="both"/>
      </w:pPr>
      <w:r w:rsidRPr="00D858D9">
        <w:t>Как известно, процесс производства представляет собой совокупность хозяйственных операций, связанных с созданием готовой продукции, выполнением работ и оказанием услуг. В процессе создания продукции определяется фактическая себестоимость, включающая сумму затрат на ее изготовление, таким образом, себестоимость – это выраженные в денежной форме текущие затраты организации на производство и сбыт продукции.</w:t>
      </w:r>
    </w:p>
    <w:p w:rsidR="009022BC" w:rsidRPr="00D858D9" w:rsidRDefault="009022BC" w:rsidP="00D858D9">
      <w:pPr>
        <w:pStyle w:val="21"/>
        <w:jc w:val="both"/>
      </w:pPr>
      <w:r w:rsidRPr="00D858D9">
        <w:t>Затраты играют большую роль в деятельности организации. От величины затрат зависит финансовый результат от продажи готовой продукции, выполнения работ, услуг. Ведь финансовый результат определяют как разницу между выручкой от продажи продукции без вычетов, предусмотренных законодательством и затратами на ее производство и реализацию. Так как затраты, связанные с производством и продажей продукции, оказывают непосредственное влияние на себестоимость. Перечень затрат строго регламентирован. С этих позиций тема данно</w:t>
      </w:r>
      <w:r>
        <w:t>го</w:t>
      </w:r>
      <w:r w:rsidRPr="00D858D9">
        <w:t xml:space="preserve"> </w:t>
      </w:r>
      <w:r>
        <w:t xml:space="preserve">реферата </w:t>
      </w:r>
      <w:r w:rsidRPr="00D858D9">
        <w:t>является актуальной.</w:t>
      </w:r>
    </w:p>
    <w:p w:rsidR="009022BC" w:rsidRPr="00D858D9" w:rsidRDefault="009022BC" w:rsidP="00D858D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данного реферата </w:t>
      </w:r>
      <w:r w:rsidRPr="00D858D9">
        <w:rPr>
          <w:rFonts w:ascii="Times New Roman" w:hAnsi="Times New Roman"/>
          <w:sz w:val="28"/>
          <w:szCs w:val="28"/>
        </w:rPr>
        <w:t>является изучение затрат как основного объекта управленческого учета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2BC" w:rsidRDefault="009022BC">
      <w:pPr>
        <w:rPr>
          <w:rFonts w:ascii="Times New Roman" w:hAnsi="Times New Roman"/>
          <w:b/>
          <w:sz w:val="28"/>
          <w:szCs w:val="28"/>
        </w:rPr>
      </w:pPr>
    </w:p>
    <w:p w:rsidR="009022BC" w:rsidRPr="00D858D9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Pr="00D858D9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Pr="00D858D9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2BC" w:rsidRPr="009363BF" w:rsidRDefault="009022BC" w:rsidP="00897A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3BF">
        <w:rPr>
          <w:rFonts w:ascii="Times New Roman" w:hAnsi="Times New Roman"/>
          <w:b/>
          <w:sz w:val="28"/>
          <w:szCs w:val="28"/>
        </w:rPr>
        <w:t>Объекты учета затрат</w:t>
      </w:r>
      <w:r>
        <w:rPr>
          <w:rFonts w:ascii="Times New Roman" w:hAnsi="Times New Roman"/>
          <w:b/>
          <w:sz w:val="28"/>
          <w:szCs w:val="28"/>
        </w:rPr>
        <w:t xml:space="preserve"> на производство</w:t>
      </w:r>
    </w:p>
    <w:p w:rsidR="009022BC" w:rsidRPr="009363BF" w:rsidRDefault="009022BC" w:rsidP="009363BF">
      <w:pPr>
        <w:pStyle w:val="a3"/>
        <w:spacing w:line="360" w:lineRule="auto"/>
        <w:ind w:left="218" w:right="218" w:firstLine="490"/>
        <w:jc w:val="both"/>
        <w:rPr>
          <w:sz w:val="28"/>
          <w:szCs w:val="28"/>
        </w:rPr>
      </w:pPr>
      <w:r w:rsidRPr="009363BF">
        <w:rPr>
          <w:sz w:val="28"/>
          <w:szCs w:val="28"/>
        </w:rPr>
        <w:t>Определение затрат представляет собой процесс, начинающийся со сбора всей информации по затратам, возникающим при покупке, производстве и реализации продукции или услуг. Собрав необходимые данные о расходах, необходимо проанализировать общую величину затрат и определить методы, позволяющие достаточно точно рассчитать себестоимость каждого вида продукции.</w:t>
      </w:r>
      <w:r>
        <w:rPr>
          <w:sz w:val="28"/>
          <w:szCs w:val="28"/>
        </w:rPr>
        <w:t xml:space="preserve"> </w:t>
      </w:r>
      <w:r w:rsidRPr="009363BF">
        <w:rPr>
          <w:sz w:val="28"/>
          <w:szCs w:val="28"/>
        </w:rPr>
        <w:t>Применение конкретных приемов и способов, составляющих тот или иной метод учета затрат, определяется учетной политикой каждой организации, формирование которой непосредственно зависит от особенностей хозяйственной деятельности.</w:t>
      </w:r>
    </w:p>
    <w:p w:rsidR="009022BC" w:rsidRPr="009363BF" w:rsidRDefault="009022BC" w:rsidP="009363BF">
      <w:pPr>
        <w:pStyle w:val="a3"/>
        <w:spacing w:line="360" w:lineRule="auto"/>
        <w:ind w:left="218" w:right="218" w:firstLine="490"/>
        <w:jc w:val="both"/>
        <w:rPr>
          <w:sz w:val="28"/>
          <w:szCs w:val="28"/>
        </w:rPr>
      </w:pPr>
      <w:r w:rsidRPr="009363BF">
        <w:rPr>
          <w:sz w:val="28"/>
          <w:szCs w:val="28"/>
        </w:rPr>
        <w:t>Учет затрат на производство в традиционной учетной практике представляет собой часть общей системы бухгалтерского учета. При этом бухгалтерский и производственный учет взаимосвязаны между собой, поскольку имеют единые процедуры документального оформления хозяйственных операций и их стоимостной оценки. В этом случае учет приобретает управленческую ориентацию.</w:t>
      </w:r>
    </w:p>
    <w:p w:rsidR="009022BC" w:rsidRPr="009363BF" w:rsidRDefault="009022BC" w:rsidP="00246FC1">
      <w:pPr>
        <w:pStyle w:val="a3"/>
        <w:spacing w:line="360" w:lineRule="auto"/>
        <w:ind w:left="218" w:right="218" w:firstLine="490"/>
        <w:jc w:val="both"/>
        <w:rPr>
          <w:sz w:val="28"/>
          <w:szCs w:val="28"/>
        </w:rPr>
      </w:pPr>
      <w:r w:rsidRPr="009363BF">
        <w:rPr>
          <w:sz w:val="28"/>
          <w:szCs w:val="28"/>
        </w:rPr>
        <w:t>Преобразуя данные производственного учета в управленческую информационную базу, дополняя оперативными сведениями и внутренней отчетностью материально-ответственных лиц, происходит формирование единой интегрированной информационной системы, позволяющей обеспечить эффективное управление затратами и результатами.</w:t>
      </w:r>
    </w:p>
    <w:p w:rsidR="009022BC" w:rsidRPr="009363BF" w:rsidRDefault="009022BC" w:rsidP="00246FC1">
      <w:pPr>
        <w:pStyle w:val="a3"/>
        <w:spacing w:line="360" w:lineRule="auto"/>
        <w:ind w:left="218" w:right="218" w:firstLine="490"/>
        <w:jc w:val="both"/>
        <w:rPr>
          <w:sz w:val="28"/>
          <w:szCs w:val="28"/>
        </w:rPr>
      </w:pPr>
      <w:r w:rsidRPr="009363BF">
        <w:rPr>
          <w:sz w:val="28"/>
          <w:szCs w:val="28"/>
        </w:rPr>
        <w:t>Для рациональной организации учета затрат является важным определение объектов учета затрат, способов учета затрат, объектов калькулирования, калькуляционных единиц и приемов калькулирования себестоимости продукции.</w:t>
      </w:r>
    </w:p>
    <w:p w:rsidR="009022BC" w:rsidRPr="009363BF" w:rsidRDefault="009022BC" w:rsidP="009363BF">
      <w:pPr>
        <w:pStyle w:val="a3"/>
        <w:spacing w:line="360" w:lineRule="auto"/>
        <w:ind w:left="218" w:right="218"/>
        <w:jc w:val="both"/>
        <w:rPr>
          <w:sz w:val="28"/>
          <w:szCs w:val="28"/>
        </w:rPr>
      </w:pPr>
      <w:r w:rsidRPr="008D1CFD">
        <w:rPr>
          <w:rStyle w:val="a5"/>
          <w:b w:val="0"/>
          <w:i/>
          <w:sz w:val="28"/>
          <w:szCs w:val="28"/>
        </w:rPr>
        <w:t>Объекты учета затрат</w:t>
      </w:r>
      <w:r w:rsidRPr="009363BF">
        <w:rPr>
          <w:sz w:val="28"/>
          <w:szCs w:val="28"/>
        </w:rPr>
        <w:t xml:space="preserve"> на производство - это реально возникающие затраты производства, сгруппированные по различным признакам, необходимым для получения информации в целях контроля и управления.</w:t>
      </w:r>
    </w:p>
    <w:p w:rsidR="009022BC" w:rsidRPr="009363BF" w:rsidRDefault="009022BC" w:rsidP="009363BF">
      <w:pPr>
        <w:pStyle w:val="a3"/>
        <w:spacing w:line="360" w:lineRule="auto"/>
        <w:ind w:firstLine="218"/>
        <w:rPr>
          <w:sz w:val="28"/>
          <w:szCs w:val="28"/>
        </w:rPr>
      </w:pPr>
      <w:r w:rsidRPr="009363BF">
        <w:rPr>
          <w:sz w:val="28"/>
          <w:szCs w:val="28"/>
        </w:rPr>
        <w:t>Объект учета затрат - это продукция, контракт, проект, организационное подразделение, функция или другой объект, для которого выполняется учет, измерение или оценка затрат. Важно: современные подходы требуют выбора в качестве основного объекта учета затрат не продукции, а процесса доставки продукции потребителю - так называемой "цепочки добавленной стоимости" (или иногда называемой "цепочкой создания ценности" - Value Chain). Учет затрат по продукции при этом, конечно же, сохраняется.</w:t>
      </w:r>
    </w:p>
    <w:p w:rsidR="009022BC" w:rsidRPr="009363BF" w:rsidRDefault="009022BC" w:rsidP="00897A17">
      <w:pPr>
        <w:pStyle w:val="a3"/>
        <w:spacing w:line="360" w:lineRule="auto"/>
        <w:ind w:firstLine="218"/>
        <w:rPr>
          <w:sz w:val="28"/>
          <w:szCs w:val="28"/>
        </w:rPr>
      </w:pPr>
      <w:r w:rsidRPr="009363BF">
        <w:rPr>
          <w:sz w:val="28"/>
          <w:szCs w:val="28"/>
        </w:rPr>
        <w:t xml:space="preserve">Учет затрат по видам показывает, какие затраты возникли по классификационным группам, относимым на предприятии в процессе производства продукции в отчетном периоде (месяц, квартал, год). Типичные виды затрат: основные материалы, труд основных производственных рабочих, вспомогательные материалы, электроэнергия, топливо и ГСМ, аренда, налоги (по видам) и т. д. </w:t>
      </w:r>
    </w:p>
    <w:p w:rsidR="009022BC" w:rsidRPr="009363BF" w:rsidRDefault="009022BC" w:rsidP="00897A17">
      <w:pPr>
        <w:pStyle w:val="a3"/>
        <w:spacing w:line="360" w:lineRule="auto"/>
        <w:ind w:firstLine="21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63BF">
        <w:rPr>
          <w:sz w:val="28"/>
          <w:szCs w:val="28"/>
        </w:rPr>
        <w:t xml:space="preserve"> рамках учета затрат по их центрам различные виды затрат относят на те подразделения предприятия, в которых они были осуществлены (не следует путать с учетом затрат по центрам финансовой ответственности, где сейчас применяется термин "центр расходов" вместо устаревшего "центра затрат").</w:t>
      </w:r>
    </w:p>
    <w:p w:rsidR="009022BC" w:rsidRPr="009363BF" w:rsidRDefault="009022BC" w:rsidP="00897A17">
      <w:pPr>
        <w:pStyle w:val="a3"/>
        <w:spacing w:line="360" w:lineRule="auto"/>
        <w:ind w:firstLine="218"/>
        <w:rPr>
          <w:sz w:val="28"/>
          <w:szCs w:val="28"/>
        </w:rPr>
      </w:pPr>
      <w:r w:rsidRPr="009363BF">
        <w:rPr>
          <w:sz w:val="28"/>
          <w:szCs w:val="28"/>
        </w:rPr>
        <w:t>В процессе учета затрат по объектам учета, в качестве которых могут выступать, например, единицы продукции, учитывают все затраты, связанные с выполнением производственного (или клиентского, что во многих случаях даже важнее) заказа или производством единицы продукции какого-либо вида. Учет затрат по носителям служит основой для установления цен, является базой для исчисления налогов, а также для текущей оценки результатов деятельности предприятия.</w:t>
      </w:r>
    </w:p>
    <w:p w:rsidR="009022BC" w:rsidRDefault="009022BC" w:rsidP="00897A17">
      <w:pPr>
        <w:pStyle w:val="a3"/>
        <w:spacing w:line="360" w:lineRule="auto"/>
        <w:ind w:firstLine="218"/>
        <w:rPr>
          <w:sz w:val="28"/>
          <w:szCs w:val="28"/>
        </w:rPr>
      </w:pPr>
      <w:r w:rsidRPr="009363BF">
        <w:rPr>
          <w:sz w:val="28"/>
          <w:szCs w:val="28"/>
        </w:rPr>
        <w:t>Здесь следует отметить, что в каждом из этих случаев может применяться свой метод отнесения затрат на объект учета, и они могут быть различны в зависимости от целевой нагрузки такого расчета (в конце статьи приведены критерии такого рода отнесений). Например, достаточно типично, чтобы в перовом случае применялся "директ-костинг", во втором - полное распределение затрат, а в третьем - функционально-стоимостной анализ.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020"/>
          <w:sz w:val="28"/>
          <w:szCs w:val="28"/>
          <w:lang w:eastAsia="ru-RU"/>
        </w:rPr>
        <w:tab/>
      </w:r>
      <w:r w:rsidRPr="009363BF">
        <w:rPr>
          <w:rFonts w:ascii="Times New Roman" w:hAnsi="Times New Roman"/>
          <w:b/>
          <w:color w:val="202020"/>
          <w:sz w:val="28"/>
          <w:szCs w:val="28"/>
          <w:lang w:eastAsia="ru-RU"/>
        </w:rPr>
        <w:t>Калькулирование себестоимости продукции, роль калькулирования в управлении производством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В русском  языке  слово  «калькуляция»  (лат.  calculatio  –  вычисление)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появилось во второй половине XIX века и означает исчисление себестоимости.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Появление калькуляции связано с зарождением мануфактурного  производства.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Формирование производительных  сил  общества,  самого  способа  производства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совершенствовали приемы и  методы  калькулирования.  Наиболее  стремительное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развитие калькулирования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как инструмент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>а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оценки рентабельности  товаров,  как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способ   преодоления   конкуренции   получило   в   условиях   промышленного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производства.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В современной экономической литературе </w:t>
      </w:r>
      <w:r w:rsidRPr="009363BF">
        <w:rPr>
          <w:rFonts w:ascii="Times New Roman" w:hAnsi="Times New Roman"/>
          <w:i/>
          <w:color w:val="202020"/>
          <w:sz w:val="28"/>
          <w:szCs w:val="28"/>
          <w:lang w:eastAsia="ru-RU"/>
        </w:rPr>
        <w:t>калькулирование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определяется  как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система  экономических  расчетов  себестоимости  единицы   отдельных   видов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продукции (работ, услуг). В процессе  калькулирования  соизмеряются  затраты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на  производство  с  количеством   выпущенной   продукции   и   определяется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себестоимость единицы продукции.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По видам продукции (работ, услуг) затраты группируют  для  исчисления  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себестоимости. В процессе калькулирования  себестоимости  единицы  продукцииучитывают  все  издержки,  связанные  с  выполнением   одного   заказа   или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производством единицы продукции какого-либо вида. 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9363BF">
        <w:rPr>
          <w:rFonts w:ascii="Times New Roman" w:hAnsi="Times New Roman"/>
          <w:i/>
          <w:color w:val="202020"/>
          <w:sz w:val="28"/>
          <w:szCs w:val="28"/>
          <w:lang w:eastAsia="ru-RU"/>
        </w:rPr>
        <w:t>Объекты калькуляции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–  это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отдельные  изделия,  группы  изделий,  полуфабрикаты,   работа   и   услуги,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себестоимость   которых   определяется.   Аналитический   учет   затрат   на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производство ведется, как  правило,  по  объектам  калькуляции.  Разрешается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открывать  аналитические  счета  не  на  каждый  объект,  а  на  их  группу.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Определение себестоимости служит  основой  для  установления  цен,  является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базой  для  исчисления  налогов  на  сбыт,  а  также  для   текущей   оценки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результатов деятельности предприятия.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i/>
          <w:color w:val="202020"/>
          <w:sz w:val="28"/>
          <w:szCs w:val="28"/>
          <w:lang w:eastAsia="ru-RU"/>
        </w:rPr>
        <w:t xml:space="preserve">   Задача калькулирования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–  определить  издержки,  которые  приходятся  на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единицу продукции  (услуг),  предназначенных  для  реализации,  а  также  на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единицу продукции (услуг) для внутреннего потребления.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Конкретные функции в процессе калькулирования издержек: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определение  производственной  или  заводской  себестоимости  для  оценки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запасов готовой продукции или полуфабрикатов;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определение величины себестоимости для установления и контроля цен;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предоставления данных о себестоимости  продукции  для  оценки  результата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деятельности  предприятия  и  обеспечения   процесса   принятия   решений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руководством.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Конечным результатом калькулирования  является  составление  калькуляций.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Все виды калькуляции отражают расходы на производство и  реализацию  единицы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конкретного вида продукции в разрезе калькуляционных статей.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Калькулирование позволяет изучить  себестоимость  полученных  в  процессе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производства конкретных продуктов.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Калькулирование себестоимости  продукции  (работ,  услуг)  условно  можно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подразделить  на  три  этапа.  На  первом  исчисляется  себестоимость   всей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выпущенной продукции в целом,  на  втором  –  фактическая  себестоимость  по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каждому виду  продукции,  на  третьем  –  себестоимость  единицы  продукции,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выполненной  работы  или  оказанной  услуги.  В   действительности   процесс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калькулирования является более сложным.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Калькулирование себестоимости продукции является  объективно  необходимым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процессом при управлении производством.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Функционировавшие ранее калькуляционные системы преследовали одну цель  –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оценить   запасы   готовой   продукции   и    полуфабрикатов    собственного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производства,  что  необходимо  для  внутрипроизводственных  целей   и   для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составления внешней отчетности, а также  для  определения  прибыли.  Тем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менее прежние системы калькулирования  не  содержали  информации,  пригодной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для решения многих управленческих решений.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Современные системы калькуляции более сбалансированы. Содержащаяся в  них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информация  позволяет  не  только   решать   традиционные   задачи,   но   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прогнозировать экономические последствия таких ситуаций как: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целесообразность дальнейшего выпуска продукции;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установление оптимальной цены на продукцию;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оптимизация ассортимента выпускаемой продукции;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целесообразность обновления действующей технологии и станочного парка;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. оценка качества работы управленческого персонала.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Современное калькулирование лежит в основе  оценки  выполнения  принятого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предприятием или центром ответственности плана. Оно необходимо  для  анализа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причин отклонений от плановых заданий по себестоимости.  Данные  фактических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калькуляций используются для последующего  планирования  себестоимости,  для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обоснования экономической  эффективности  внедрения  новой  техники,  выбора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современных технологических процессов, проведения мероприятий  по  повышению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качества  продукции,  проверки  проектов   строительства   и   реконструкции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предприятий.  По  результатам  калькулирования  можно  принять   решение   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проведении ремонта  самостоятельно  или  с  использованием  услуг  сторонних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организаций.  Наконец,  калькулирование   является   основой   трансфертного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ценообразования.   Трансфертная   (внутренняя)    цена    применяется    при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коммерческих операциях между подразделениями одного и того же предприятия.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Таким  образом,  производственный  учет   и   калькулирование   является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основными элементами системы управления не только себестоимостью  продукции,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363BF">
        <w:rPr>
          <w:rFonts w:ascii="Times New Roman" w:hAnsi="Times New Roman"/>
          <w:color w:val="202020"/>
          <w:sz w:val="28"/>
          <w:szCs w:val="28"/>
          <w:lang w:eastAsia="ru-RU"/>
        </w:rPr>
        <w:t>но и производством в целом.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020"/>
          <w:sz w:val="28"/>
          <w:szCs w:val="28"/>
          <w:lang w:eastAsia="ru-RU"/>
        </w:rPr>
        <w:tab/>
      </w:r>
    </w:p>
    <w:p w:rsidR="009022BC" w:rsidRPr="00C0390D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020"/>
          <w:sz w:val="28"/>
          <w:szCs w:val="28"/>
          <w:lang w:eastAsia="ru-RU"/>
        </w:rPr>
        <w:tab/>
      </w:r>
      <w:r w:rsidRPr="00C0390D">
        <w:rPr>
          <w:rFonts w:ascii="Times New Roman" w:hAnsi="Times New Roman"/>
          <w:b/>
          <w:color w:val="202020"/>
          <w:sz w:val="28"/>
          <w:szCs w:val="28"/>
          <w:lang w:eastAsia="ru-RU"/>
        </w:rPr>
        <w:t xml:space="preserve">Расчет общей суммы издержек и определение цены продукции                  </w:t>
      </w:r>
    </w:p>
    <w:p w:rsidR="009022BC" w:rsidRDefault="009022BC" w:rsidP="005A6104">
      <w:pPr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9022BC" w:rsidRPr="00DD031E" w:rsidRDefault="009022BC" w:rsidP="00C0390D">
      <w:pPr>
        <w:pStyle w:val="13"/>
        <w:spacing w:line="360" w:lineRule="auto"/>
      </w:pPr>
      <w:bookmarkStart w:id="0" w:name="_Toc241836456"/>
      <w:r w:rsidRPr="00DD031E">
        <w:t>Для примера рассчитаем общую сумму  издержек</w:t>
      </w:r>
      <w:r>
        <w:t xml:space="preserve"> на производство продукции (стула) </w:t>
      </w:r>
      <w:r w:rsidRPr="00DD031E">
        <w:t xml:space="preserve"> и определим</w:t>
      </w:r>
      <w:r>
        <w:t xml:space="preserve"> </w:t>
      </w:r>
      <w:r w:rsidRPr="00DD031E">
        <w:t>цену</w:t>
      </w:r>
      <w:r>
        <w:t>.</w:t>
      </w:r>
      <w:r w:rsidRPr="00DD031E">
        <w:t xml:space="preserve"> </w:t>
      </w:r>
      <w:bookmarkEnd w:id="0"/>
    </w:p>
    <w:p w:rsidR="009022BC" w:rsidRPr="00C0390D" w:rsidRDefault="009022BC" w:rsidP="00C0390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0390D">
        <w:rPr>
          <w:rFonts w:ascii="Times New Roman" w:hAnsi="Times New Roman"/>
          <w:sz w:val="28"/>
          <w:szCs w:val="28"/>
        </w:rPr>
        <w:t>Цена продукции определяется как сумма общих издержек производственного и непроизводственного характера и прибыли. Прибыль определим через рентабельность, т.е. через процент к полной сумме издержек. Полная себестоимость производства стульев составляет 382,69 руб. на единицу товара. Допустим, что рентабельность составляет 15%. Производство и реализация одного стула приносит прибыль в размере: 382,69 * 15% /100 = 57,40 руб. Таким образом, цена нашей единицы продукции составит 440,09 руб. (без НДС). (Рыночная цена аналогичного стула - 450 руб. без НДС).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2BC" w:rsidRPr="00C0390D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2BC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2BC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2BC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2BC" w:rsidRPr="00C0390D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  <w:r w:rsidRPr="00C0390D">
        <w:rPr>
          <w:rFonts w:ascii="Times New Roman" w:hAnsi="Times New Roman"/>
          <w:sz w:val="28"/>
          <w:szCs w:val="28"/>
        </w:rPr>
        <w:t>Таблица 1. Калькулирование себестоимости продукции (стула) 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2126"/>
        <w:gridCol w:w="1894"/>
      </w:tblGrid>
      <w:tr w:rsidR="009022BC" w:rsidRPr="00F15BB0" w:rsidTr="00F15BB0">
        <w:trPr>
          <w:trHeight w:val="745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Сумма затрат на ед. 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Доля статей затрат в цене</w:t>
            </w:r>
          </w:p>
        </w:tc>
      </w:tr>
      <w:tr w:rsidR="009022BC" w:rsidRPr="00F15BB0" w:rsidTr="00F15BB0">
        <w:trPr>
          <w:trHeight w:val="280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214,46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49%</w:t>
            </w:r>
          </w:p>
        </w:tc>
      </w:tr>
      <w:tr w:rsidR="009022BC" w:rsidRPr="00F15BB0" w:rsidTr="00F15BB0">
        <w:trPr>
          <w:trHeight w:val="271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Возвратные отходы (вычитаются)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  <w:tr w:rsidR="009022BC" w:rsidRPr="00F15BB0" w:rsidTr="00F15BB0">
        <w:trPr>
          <w:trHeight w:val="849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Покупные комплектующие изделия, полуфабрикаты и услуги сторонних организаций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12, 19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3%</w:t>
            </w:r>
          </w:p>
        </w:tc>
      </w:tr>
      <w:tr w:rsidR="009022BC" w:rsidRPr="00F15BB0" w:rsidTr="00F15BB0">
        <w:trPr>
          <w:trHeight w:val="273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Топливо на технолог. цели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  <w:tr w:rsidR="009022BC" w:rsidRPr="00F15BB0" w:rsidTr="00F15BB0">
        <w:trPr>
          <w:trHeight w:val="304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Энергия на технолог. цели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  <w:tr w:rsidR="009022BC" w:rsidRPr="00F15BB0" w:rsidTr="00F15BB0">
        <w:trPr>
          <w:trHeight w:val="286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Основная и дополнительная з. п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50, 20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11%</w:t>
            </w:r>
          </w:p>
        </w:tc>
      </w:tr>
      <w:tr w:rsidR="009022BC" w:rsidRPr="00F15BB0" w:rsidTr="00F15BB0">
        <w:trPr>
          <w:trHeight w:val="262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Отчисления на социальные нужд (26% от з/платы)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18,47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4%</w:t>
            </w:r>
          </w:p>
        </w:tc>
      </w:tr>
      <w:tr w:rsidR="009022BC" w:rsidRPr="00F15BB0" w:rsidTr="00F15BB0">
        <w:trPr>
          <w:trHeight w:val="226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Расходы на подготовку иосвоепроизводства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  <w:tr w:rsidR="009022BC" w:rsidRPr="00F15BB0" w:rsidTr="00F15BB0">
        <w:trPr>
          <w:trHeight w:val="402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27,15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6%</w:t>
            </w:r>
          </w:p>
        </w:tc>
      </w:tr>
      <w:tr w:rsidR="009022BC" w:rsidRPr="00F15BB0" w:rsidTr="00F15BB0">
        <w:trPr>
          <w:trHeight w:val="277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Общецеховые расходы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8,79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2%</w:t>
            </w:r>
          </w:p>
        </w:tc>
      </w:tr>
      <w:tr w:rsidR="009022BC" w:rsidRPr="00F15BB0" w:rsidTr="00F15BB0">
        <w:trPr>
          <w:trHeight w:val="281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Ограниченная себестоимость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331,26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75%</w:t>
            </w:r>
          </w:p>
        </w:tc>
      </w:tr>
      <w:tr w:rsidR="009022BC" w:rsidRPr="00F15BB0" w:rsidTr="00F15BB0">
        <w:trPr>
          <w:trHeight w:val="284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Общезаводские расходы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33,21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8%</w:t>
            </w:r>
          </w:p>
        </w:tc>
      </w:tr>
      <w:tr w:rsidR="009022BC" w:rsidRPr="00F15BB0" w:rsidTr="00F15BB0">
        <w:trPr>
          <w:trHeight w:val="260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364,47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83%</w:t>
            </w:r>
          </w:p>
        </w:tc>
      </w:tr>
      <w:tr w:rsidR="009022BC" w:rsidRPr="00F15BB0" w:rsidTr="00F15BB0">
        <w:trPr>
          <w:trHeight w:val="567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Внепроизводственные расходы (5% от производств. Себестоимости)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18,22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4%</w:t>
            </w:r>
          </w:p>
        </w:tc>
      </w:tr>
      <w:tr w:rsidR="009022BC" w:rsidRPr="00F15BB0" w:rsidTr="00F15BB0">
        <w:trPr>
          <w:trHeight w:val="118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Полная себестоимость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382,69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87%</w:t>
            </w:r>
          </w:p>
        </w:tc>
      </w:tr>
      <w:tr w:rsidR="009022BC" w:rsidRPr="00F15BB0" w:rsidTr="00F15BB0">
        <w:trPr>
          <w:trHeight w:val="292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Прибыль (15% от полной себестоимости)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57,40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13%</w:t>
            </w:r>
          </w:p>
        </w:tc>
      </w:tr>
      <w:tr w:rsidR="009022BC" w:rsidRPr="00F15BB0" w:rsidTr="00F15BB0">
        <w:trPr>
          <w:trHeight w:val="269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Цена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440,09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100%</w:t>
            </w:r>
          </w:p>
        </w:tc>
      </w:tr>
      <w:tr w:rsidR="009022BC" w:rsidRPr="00F15BB0" w:rsidTr="00F15BB0">
        <w:trPr>
          <w:trHeight w:val="272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 xml:space="preserve">НДС (18% от цены) 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79,22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  <w:tr w:rsidR="009022BC" w:rsidRPr="00F15BB0" w:rsidTr="00F15BB0">
        <w:trPr>
          <w:trHeight w:val="421"/>
        </w:trPr>
        <w:tc>
          <w:tcPr>
            <w:tcW w:w="675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Продажная цена с НДС</w:t>
            </w:r>
          </w:p>
        </w:tc>
        <w:tc>
          <w:tcPr>
            <w:tcW w:w="2126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  <w:r w:rsidRPr="00F15BB0">
              <w:rPr>
                <w:sz w:val="28"/>
                <w:szCs w:val="28"/>
              </w:rPr>
              <w:t>519,31</w:t>
            </w:r>
          </w:p>
        </w:tc>
        <w:tc>
          <w:tcPr>
            <w:tcW w:w="1894" w:type="dxa"/>
          </w:tcPr>
          <w:p w:rsidR="009022BC" w:rsidRPr="00F15BB0" w:rsidRDefault="009022BC" w:rsidP="00C0390D">
            <w:pPr>
              <w:pStyle w:val="a9"/>
              <w:rPr>
                <w:sz w:val="28"/>
                <w:szCs w:val="28"/>
              </w:rPr>
            </w:pPr>
          </w:p>
        </w:tc>
      </w:tr>
    </w:tbl>
    <w:p w:rsidR="009022BC" w:rsidRPr="00C0390D" w:rsidRDefault="009022BC" w:rsidP="00C0390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0390D">
        <w:rPr>
          <w:rFonts w:ascii="Times New Roman" w:hAnsi="Times New Roman"/>
          <w:sz w:val="28"/>
          <w:szCs w:val="28"/>
        </w:rPr>
        <w:t>Ограниченная себестоимость включает в себя все затраты, производимые предприятием в цехе, т.е. до статьи “Общецеховые расходы" включительно. Производственная себестоимость - это сумма ограниченной себестоимости и общезаводских расходов. Полная себестоимость - это сумма производственной себестоимости и внепроизводственных расходов. Цена складывается из полной себестоимости и прибыли. Продажной ценой считается цена с налогом на добавленную стоимость (НДС) (18% от цены).</w:t>
      </w:r>
    </w:p>
    <w:p w:rsidR="009022BC" w:rsidRPr="00C0390D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  <w:r w:rsidRPr="00C0390D">
        <w:rPr>
          <w:rFonts w:ascii="Times New Roman" w:hAnsi="Times New Roman"/>
          <w:sz w:val="28"/>
          <w:szCs w:val="28"/>
        </w:rPr>
        <w:t>Цена с НДС: 440,09 руб. * 18% = 519,31 руб.</w:t>
      </w:r>
    </w:p>
    <w:p w:rsidR="009022BC" w:rsidRPr="00C0390D" w:rsidRDefault="009022BC" w:rsidP="00C0390D">
      <w:pPr>
        <w:spacing w:line="360" w:lineRule="auto"/>
        <w:rPr>
          <w:rFonts w:ascii="Times New Roman" w:hAnsi="Times New Roman"/>
          <w:sz w:val="28"/>
          <w:szCs w:val="28"/>
        </w:rPr>
      </w:pPr>
      <w:r w:rsidRPr="00C0390D">
        <w:rPr>
          <w:rFonts w:ascii="Times New Roman" w:hAnsi="Times New Roman"/>
          <w:sz w:val="28"/>
          <w:szCs w:val="28"/>
        </w:rPr>
        <w:t>Но для анализа и сравнения принимается цена без НДС.</w:t>
      </w:r>
    </w:p>
    <w:p w:rsidR="009022BC" w:rsidRPr="004D5718" w:rsidRDefault="009022BC" w:rsidP="00C0390D"/>
    <w:p w:rsidR="009022BC" w:rsidRDefault="009022BC" w:rsidP="00C0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tab/>
      </w:r>
    </w:p>
    <w:p w:rsidR="009022BC" w:rsidRDefault="009022BC">
      <w:pPr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br w:type="page"/>
      </w:r>
    </w:p>
    <w:p w:rsidR="009022BC" w:rsidRPr="00D858D9" w:rsidRDefault="009022BC" w:rsidP="00C0390D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858D9">
        <w:rPr>
          <w:rFonts w:ascii="Times New Roman" w:hAnsi="Times New Roman"/>
          <w:b/>
          <w:sz w:val="28"/>
          <w:szCs w:val="28"/>
        </w:rPr>
        <w:t>Заключение</w:t>
      </w:r>
    </w:p>
    <w:p w:rsidR="009022BC" w:rsidRDefault="009022BC" w:rsidP="00D858D9">
      <w:pPr>
        <w:spacing w:line="360" w:lineRule="auto"/>
        <w:rPr>
          <w:rFonts w:ascii="Times New Roman" w:hAnsi="Times New Roman"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 xml:space="preserve">Затраты в деятельности предприятия играют очень большую роль. Хозяйственно – производственная деятельность на любом предприятии  связана с потреблением сырья, вспомогательных материалов, технологической энергии, воды, начислением заработной платы, отчислением в социальные фонды и рядом других необходимых затрат и отчислений. Для подсчета суммы всех расходов предприятия приводят их к денежному показателю в виде себестоимости. </w:t>
      </w:r>
    </w:p>
    <w:p w:rsidR="009022BC" w:rsidRDefault="009022BC" w:rsidP="00D858D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858D9">
        <w:rPr>
          <w:rFonts w:ascii="Times New Roman" w:hAnsi="Times New Roman"/>
          <w:sz w:val="28"/>
          <w:szCs w:val="28"/>
        </w:rPr>
        <w:t xml:space="preserve">На основе затрат осуществляется калькулирование продукции (работ, услуг) и определяется себестоимость изделия. Себестоимость продукции (работ, услуг) представляет собой стоимостную оценку используемых в процессе производства продукции природных ресурсов, сырья, материалов, топлива, энергии, основных средств, трудовых ресурсов, а также других затрат на ее производство и реализацию. Определение себестоимости – очень сложный учетный процесс, учитывающий отраслевую специфику предприятия. Порядок и условия определения себестоимости для разных предприятий не совпадают, поскольку для них предусмотрены различные приемы для исчисления себестоимости. </w:t>
      </w:r>
    </w:p>
    <w:p w:rsidR="009022BC" w:rsidRPr="00D858D9" w:rsidRDefault="009022BC" w:rsidP="00D858D9">
      <w:pPr>
        <w:spacing w:line="360" w:lineRule="auto"/>
        <w:ind w:firstLine="708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D858D9">
        <w:rPr>
          <w:rFonts w:ascii="Times New Roman" w:hAnsi="Times New Roman"/>
          <w:sz w:val="28"/>
          <w:szCs w:val="28"/>
        </w:rPr>
        <w:t>Таким образом, от того какая специфика производства на предприятии зависит приемы и методы исчисления себестоимости.</w:t>
      </w:r>
    </w:p>
    <w:p w:rsidR="009022BC" w:rsidRPr="00D858D9" w:rsidRDefault="009022BC" w:rsidP="00D858D9">
      <w:pPr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Default="009022BC">
      <w:pPr>
        <w:rPr>
          <w:rFonts w:ascii="Times New Roman" w:hAnsi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020"/>
          <w:sz w:val="28"/>
          <w:szCs w:val="28"/>
          <w:lang w:eastAsia="ru-RU"/>
        </w:rPr>
        <w:br w:type="page"/>
      </w:r>
    </w:p>
    <w:p w:rsidR="009022BC" w:rsidRPr="00060EA1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202020"/>
          <w:sz w:val="28"/>
          <w:szCs w:val="28"/>
          <w:lang w:eastAsia="ru-RU"/>
        </w:rPr>
      </w:pPr>
      <w:r w:rsidRPr="00060EA1">
        <w:rPr>
          <w:rFonts w:ascii="Times New Roman" w:hAnsi="Times New Roman"/>
          <w:b/>
          <w:color w:val="202020"/>
          <w:sz w:val="28"/>
          <w:szCs w:val="28"/>
          <w:lang w:eastAsia="ru-RU"/>
        </w:rPr>
        <w:t>Список используемых источников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38F4">
        <w:rPr>
          <w:rFonts w:ascii="Times New Roman" w:hAnsi="Times New Roman"/>
          <w:sz w:val="28"/>
          <w:szCs w:val="28"/>
        </w:rPr>
        <w:t>Танашева О. Г., Рябова Т. С. Контроль и анализ в системе управления затратами. // Экономический анализ: теория и практика. 2004. № 8. С. 39-46.</w:t>
      </w:r>
    </w:p>
    <w:p w:rsidR="009022BC" w:rsidRPr="002E38F4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38F4">
        <w:rPr>
          <w:rFonts w:ascii="Times New Roman" w:hAnsi="Times New Roman"/>
          <w:sz w:val="28"/>
          <w:szCs w:val="28"/>
        </w:rPr>
        <w:t>Лабутин П. Учет затрат на производство продукции. // Консультант бухгалтера. 2006. № 18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3. </w:t>
      </w:r>
      <w:r w:rsidRPr="00B566DF">
        <w:rPr>
          <w:rFonts w:ascii="Times New Roman" w:hAnsi="Times New Roman"/>
          <w:sz w:val="28"/>
          <w:szCs w:val="28"/>
          <w:lang w:eastAsia="ru-RU"/>
        </w:rPr>
        <w:t>http://eskp.ru</w:t>
      </w:r>
    </w:p>
    <w:p w:rsidR="009022BC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4. </w:t>
      </w:r>
      <w:r w:rsidRPr="00060EA1">
        <w:rPr>
          <w:rFonts w:ascii="Times New Roman" w:hAnsi="Times New Roman"/>
          <w:color w:val="202020"/>
          <w:sz w:val="28"/>
          <w:szCs w:val="28"/>
          <w:lang w:eastAsia="ru-RU"/>
        </w:rPr>
        <w:t>http://www.gaap.ru</w:t>
      </w: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Pr="009363BF" w:rsidRDefault="009022BC" w:rsidP="009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9022BC" w:rsidRPr="009363BF" w:rsidRDefault="009022BC" w:rsidP="009363BF">
      <w:pPr>
        <w:pStyle w:val="a3"/>
        <w:spacing w:line="360" w:lineRule="auto"/>
        <w:rPr>
          <w:sz w:val="28"/>
          <w:szCs w:val="28"/>
        </w:rPr>
      </w:pPr>
    </w:p>
    <w:p w:rsidR="009022BC" w:rsidRPr="009363BF" w:rsidRDefault="009022BC" w:rsidP="009363BF">
      <w:pPr>
        <w:pStyle w:val="a3"/>
        <w:spacing w:line="360" w:lineRule="auto"/>
        <w:rPr>
          <w:sz w:val="28"/>
          <w:szCs w:val="28"/>
        </w:rPr>
      </w:pPr>
    </w:p>
    <w:p w:rsidR="009022BC" w:rsidRPr="009363BF" w:rsidRDefault="009022BC" w:rsidP="009363BF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9022BC" w:rsidRPr="009363BF" w:rsidSect="0022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B97"/>
    <w:multiLevelType w:val="hybridMultilevel"/>
    <w:tmpl w:val="D6FC0842"/>
    <w:lvl w:ilvl="0" w:tplc="FD100E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76CFE"/>
    <w:multiLevelType w:val="hybridMultilevel"/>
    <w:tmpl w:val="995ABA12"/>
    <w:lvl w:ilvl="0" w:tplc="D9BE06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C6636"/>
    <w:multiLevelType w:val="hybridMultilevel"/>
    <w:tmpl w:val="E7E285BC"/>
    <w:lvl w:ilvl="0" w:tplc="F496B98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80AE0"/>
    <w:multiLevelType w:val="singleLevel"/>
    <w:tmpl w:val="DC9E34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4E3D3E75"/>
    <w:multiLevelType w:val="hybridMultilevel"/>
    <w:tmpl w:val="C1E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4C1C3D"/>
    <w:multiLevelType w:val="hybridMultilevel"/>
    <w:tmpl w:val="FC52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052D10"/>
    <w:multiLevelType w:val="hybridMultilevel"/>
    <w:tmpl w:val="F6BC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3BF"/>
    <w:rsid w:val="00060EA1"/>
    <w:rsid w:val="00142A29"/>
    <w:rsid w:val="001F549C"/>
    <w:rsid w:val="00205844"/>
    <w:rsid w:val="002200E5"/>
    <w:rsid w:val="00221194"/>
    <w:rsid w:val="00246FC1"/>
    <w:rsid w:val="002E38F4"/>
    <w:rsid w:val="004D5718"/>
    <w:rsid w:val="00585053"/>
    <w:rsid w:val="005A6104"/>
    <w:rsid w:val="006C2E42"/>
    <w:rsid w:val="007C6EC6"/>
    <w:rsid w:val="00823BFC"/>
    <w:rsid w:val="00897A17"/>
    <w:rsid w:val="008C51EC"/>
    <w:rsid w:val="008D1CFD"/>
    <w:rsid w:val="009022BC"/>
    <w:rsid w:val="009363BF"/>
    <w:rsid w:val="00A57FE1"/>
    <w:rsid w:val="00A87390"/>
    <w:rsid w:val="00B566DF"/>
    <w:rsid w:val="00BC569D"/>
    <w:rsid w:val="00C0390D"/>
    <w:rsid w:val="00C13EBB"/>
    <w:rsid w:val="00D858D9"/>
    <w:rsid w:val="00DD031E"/>
    <w:rsid w:val="00E2099B"/>
    <w:rsid w:val="00F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FFC5-7515-4969-8680-95B287B7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9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10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9363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363B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9363B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9363B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5">
    <w:name w:val="Strong"/>
    <w:basedOn w:val="a0"/>
    <w:qFormat/>
    <w:rsid w:val="009363BF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93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Calibri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9363BF"/>
    <w:rPr>
      <w:rFonts w:ascii="Arial" w:hAnsi="Arial" w:cs="Arial"/>
      <w:color w:val="202020"/>
      <w:sz w:val="20"/>
      <w:szCs w:val="20"/>
      <w:lang w:val="x-none" w:eastAsia="ru-RU"/>
    </w:rPr>
  </w:style>
  <w:style w:type="paragraph" w:customStyle="1" w:styleId="11">
    <w:name w:val="Абзац списку1"/>
    <w:basedOn w:val="a"/>
    <w:rsid w:val="002E38F4"/>
    <w:pPr>
      <w:ind w:left="720"/>
      <w:contextualSpacing/>
    </w:pPr>
  </w:style>
  <w:style w:type="paragraph" w:styleId="21">
    <w:name w:val="Body Text 2"/>
    <w:basedOn w:val="a"/>
    <w:link w:val="22"/>
    <w:rsid w:val="00D858D9"/>
    <w:pPr>
      <w:spacing w:after="0" w:line="360" w:lineRule="auto"/>
      <w:ind w:firstLine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ий текст 2 Знак"/>
    <w:basedOn w:val="a0"/>
    <w:link w:val="21"/>
    <w:locked/>
    <w:rsid w:val="00D858D9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5A6104"/>
    <w:rPr>
      <w:rFonts w:ascii="Cambria" w:hAnsi="Cambria" w:cs="Times New Roman"/>
      <w:b/>
      <w:bCs/>
      <w:color w:val="365F91"/>
      <w:sz w:val="28"/>
      <w:szCs w:val="28"/>
    </w:rPr>
  </w:style>
  <w:style w:type="paragraph" w:styleId="23">
    <w:name w:val="Body Text Indent 2"/>
    <w:basedOn w:val="a"/>
    <w:link w:val="24"/>
    <w:semiHidden/>
    <w:rsid w:val="005A610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semiHidden/>
    <w:locked/>
    <w:rsid w:val="005A6104"/>
    <w:rPr>
      <w:rFonts w:cs="Times New Roman"/>
    </w:rPr>
  </w:style>
  <w:style w:type="paragraph" w:styleId="a6">
    <w:name w:val="caption"/>
    <w:basedOn w:val="a"/>
    <w:next w:val="a"/>
    <w:qFormat/>
    <w:rsid w:val="005A6104"/>
    <w:pPr>
      <w:spacing w:after="0" w:line="240" w:lineRule="auto"/>
      <w:jc w:val="both"/>
    </w:pPr>
    <w:rPr>
      <w:rFonts w:ascii="Times New Roman" w:eastAsia="Calibri" w:hAnsi="Times New Roman"/>
      <w:b/>
      <w:w w:val="90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5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5A6104"/>
    <w:rPr>
      <w:rFonts w:ascii="Tahoma" w:hAnsi="Tahoma" w:cs="Tahoma"/>
      <w:sz w:val="16"/>
      <w:szCs w:val="16"/>
    </w:rPr>
  </w:style>
  <w:style w:type="paragraph" w:customStyle="1" w:styleId="a9">
    <w:name w:val="ТАБЛИЦА"/>
    <w:next w:val="a"/>
    <w:autoRedefine/>
    <w:rsid w:val="00C0390D"/>
    <w:pPr>
      <w:spacing w:line="360" w:lineRule="auto"/>
    </w:pPr>
    <w:rPr>
      <w:rFonts w:ascii="Times New Roman" w:hAnsi="Times New Roman"/>
      <w:color w:val="000000"/>
    </w:rPr>
  </w:style>
  <w:style w:type="table" w:customStyle="1" w:styleId="12">
    <w:name w:val="Стиль таблицы1"/>
    <w:rsid w:val="00C0390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3">
    <w:name w:val="Без інтервалів1"/>
    <w:rsid w:val="00C0390D"/>
    <w:pPr>
      <w:ind w:firstLine="72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15114</CharactersWithSpaces>
  <SharedDoc>false</SharedDoc>
  <HLinks>
    <vt:vector size="6" baseType="variant"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http://eskp.ru/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Irina</cp:lastModifiedBy>
  <cp:revision>2</cp:revision>
  <cp:lastPrinted>2010-11-18T18:39:00Z</cp:lastPrinted>
  <dcterms:created xsi:type="dcterms:W3CDTF">2014-08-16T13:49:00Z</dcterms:created>
  <dcterms:modified xsi:type="dcterms:W3CDTF">2014-08-16T13:49:00Z</dcterms:modified>
</cp:coreProperties>
</file>