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3D1" w:rsidRDefault="002D33D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Обзор практики разрешения споров, связанных с защитой прав на товарный знак 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1. Правовая охрана товарного знака обеспечивается на основании государственной регистрации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Ликеро-водочный завод обратился в арбитражный суд с иском к акционерному обществу о запрещении выпуска водки с использованием на этикетке обозначения, тождественного его товарному знаку. В обоснование своих требований истец представил лицензию на производство водки и патент на изобретение.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Арбитражный суд отказал в иске, не признав указанные документы в качестве доказательства прав на спорный товарный знак, поскольку в соответствии со статьей 2 Закона Российской Федерации "О товарных знаках, знаках обслуживания и наименованиях мест происхождения товаров" право на товарный знак возникает на основании государственной регистрации последнего в Патентном ведомстве Российской Федерации.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Основания для охраны данного обозначения в силу международных договоров Российской Федерации также отсутствовали. 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2. Исключительное право владельца на товарный знак определяется в отношении товаров и услуг, указанных в свидетельстве на товарный знак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Акционерное общество обратилось в арбитражный суд с иском о прекращении нарушения прав на товарный знак, зарегистрированный на его имя для товаров 16-го класса Международной классификации товаров и услуг.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Истец ссылался на то, что обозначение, сходное с его товарным знаком до степени смешения, использует ответчик при изготовлении малярных кистей и валиков. 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Отказывая в иске, арбитражный суд указал, что в соответствии со статьями 3, 4 Закона Российской Федерации "О товарных знаках, знаках обслуживания и наименованиях мест происхождения товаров" правовая охрана исключительного права на товарный знак обеспечивается в отношении товаров, указанных в свидетельстве на товарный знак. 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Ниццким соглашением от 15.06.57, пересмотренным в Стокгольме 14.07.67 и в Женеве 13.05.77, для регистрации знаков принята Международная классификация товаров и услуг. Каждый из 42 классов разделен на рубрики, перечисляющие входящие в класс названия вида товаров и услуг.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Свидетельство на товарный знак может быть выдано на часть товаров одного класса, как это было в рассматриваемом деле. 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перечне товаров 16-го класса в свидетельстве истца не были указаны кисти и малярные валики, поэтому суд признал, что истец не обладает правом на товарный знак для обозначения этих товаров. 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 xml:space="preserve">3. Объем правовой охраны товарного знака и знака обслуживания определяется на основании его государственной регистрации 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Банк обратился в арбитражный суд с иском к акционерному обществу о защите прав на знак обслуживания, зарегистрированный им на все виды услуг 36-го класса "Страхование и финансирование", указав на использование ответчиком обозначения, сходного со знаком обслуживания истца до степени смешения, в отношении однородных услуг.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Статьей 5 Закона Российской Федерации "О банках и банковской деятельности в Российской Федерации" банкам запрещено осуществлять все виды страхования, за исключением страхования валютных и кредитных рисков.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Арбитражный суд установил, что ответчик использовал обозначение, сходное с товарным знаком истца, при оказании услуг по страхованию граждан и отказал в иске.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Отменив названное решение, апелляционная инстанция сослалась на то, что в соответствии со статьей 2 Закона Российской Федерации "О товарных знаках, знаках обслуживания и наименованиях мест происхождения товаров" правовая охрана товарного знака и знака обслуживания в Российской Федерации предоставляется на основании его государственной регистрации.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Действующее законодательство не ограничивает возможность регистрации товарных знаков и знаков обслуживания видом осуществляемой деятельности, выданной лицензией или специальной правосубъектностью.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4. Предложение к продаже продукции с товарным знаком, используемым без разрешения его владельца, является нарушением прав на товарный знак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Часовой завод обратился в арбитражный суд с иском о пресечении нарушения прав на товарный знак к комиссионному магазину, выставившему на продажу часы, имеющие изображение его товарного знака, производителем которых завод не является. 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Возражая против заявленных требований, ответчик ссылался на то, что он не является изготовителем часов, а только занимается их реализацией.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 частью 2 статьи 4 Закона Российской Федерации "О товарных знаках, знаках обслуживания и наименованиях мест происхождения товаров" предложение к продаже является элементом введения товара в хозяйственный оборот, поэтому представляет собой самостоятельное нарушение прав владельца товарного знака. 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Исходя из этого, арбитражный суд удовлетворил иск к ответчику, обязав его снять с реализации часы с товарным знаком истца. 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5. Хранение продукции с товарным знаком, используемым без разрешения его владельца, признается нарушением прав на товарный знак, если хранение осуществляется с целью введения такой продукции в хозяйственный оборот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Изготовитель заменителя сахара обратился в арбитражный суд с иском о нарушении прав на товарный знак к товариществу с ограниченной ответственностью, поскольку на складе ответчика хранится аналогичная продукция, маркированная товарным знаком, зарегистрированным на имя истца для товаров данного класса. 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Ответчик сослался на то, что он не является производителем товара, а только предоставил склады для его хранения. 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разрешении спора было установлено, что ответчик направил нескольким магазинам розничной торговли проекты договоров купли-продажи данного заменителя сахара. 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Удовлетворяя иск, арбитражный суд указал на цель хранения товара: его последующую реализацию, в связи с чем усмотрел в действиях ответчика признаки правонарушения, предусмотренного частью 2 статьи 4 Закона Российской Федерации "О товарных знаках, знаках обслуживания и наименованиях мест происхождения товаров".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6. Несанкционированное использование охраняемого элемента товарного знака без элемента, не подлежащего правовой охране, является нарушением прав на товарный знак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Товарищество с ограниченной ответственностью обратилось в арбитражный суд с иском к издательству о защите прав на товарный знак путем удаления его с печатной продукции. В качестве товарного знака зарегистрировано обозначение из двух слов, одно из которых является охраняемым элементом.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Арбитражный суд отказал в удовлетворении исковых требований, поскольку в качестве товарного знака зарегистрировано обозначение из двух слов, одно из которых является охраняемым элементом. Ответчик использует только охраняемую часть товарного знака. 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Отменяя решение, апелляционная инстанция указала, что нарушением прав на товарный знак является как использование товарного знака в целом, так и только одного охраняемого элемента. 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7. Если товары, обозначенные товарным знаком, введены в хозяйственный оборот другими лицами с согласия его владельца, то он не вправе запретить им использование этого товарного знака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Товарищество с ограниченной ответственностью обратилось в арбитражный суд с иском к акционерному обществу о прекращении нарушения прав на товарный знак. Ответчик, по утверждению истца, выпускает в хозяйственный оборот товары того же класса, используя тождественный товарный знак.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Акционерное общество не отрицало указанного обстоятельства, однако ссылалось на правомерность своих действий, поскольку выпускает товары с указанным обозначением в пределах количества, установленного договором, заключенным с истцом до регистрации этого обозначения в качестве товарного знака. 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Арбитражный суд отказал в удовлетворении исковых требований по следующим основаниям. 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со статьей 23 Закона Российской Федерации "О товарных знаках, знаках обслуживания и наименованиях мест происхождения товаров" регистрация товарного знака не дает права его владельцу запретить использование этого товарного знака другим лицам в отношении товаров, которые были введены в хозяйственный оборот непосредственно владельцем товарного знака или с его согласия.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Поэтому изготовление товара с использованием обозначения, зарегистрированного впоследствии в качестве товарного знака, не является нарушением прав на товарный знак, если оно осуществляется по ранее заключенному договору с владельцем товарного знака. 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8. Изготовление продукции ненадлежащего качества новым владельцем товарного знака не является основанием для признания недействительной сделки по уступке товарного знака, заключенной с первоначальным владельцем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Товарищество с ограниченной ответственностью обратилось в арбитражный суд с иском о запрещении акционерному обществу выпускать товары с товарным знаком, владельцем которого является истец на основании договора об уступке ему товарного знака третьим лицом. 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Акционерное общество иск не признало, полагая, что сделка по уступке товарного знака ничтожна, так как создает искаженное представление о товаре и его изготовителе. В качестве доказательства акционерным обществом представлено предписание Департамента фармации, запрещающее товариществу реализацию товаров из-за их ненадлежащего качества.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Арбитражный суд отказал в иске. 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Указанное решение по делу отменено, поскольку в соответствии со статьей 25 Закона Российской Федерации "О товарных знаках, знаках обслуживания и наименованиях мест происхождения товаров" уступка товарного знака не допускается, если она может явиться причиной введения в заблуждение потребителя относительно товара или его изготовителя.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Изготовление продукции ненадлежащего качества новым владельцем товарного знака не может служить основанием для признания сделки по уступке товарного знака недействительной, так как условие о качестве товара не является содержанием такой сделки, в отличие от лицензионного договора.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9. При разрешении спора о пресечении нарушений прав на товарный знак арбитражный суд не может признать регистрацию товарного знака недействительной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Изготовитель минеральной воды обратился в арбитражный суд с иском к товариществу с ограниченной ответственностью о нарушении прав на товарный знак, поскольку он является владельцем товарного знака в виде графического изображения лесного пейзажа с наименованием воды.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Возражая против заявленного иска, ответчик сослался на то, что на его имя зарегистрирован товарный знак, представляющий собой комбинированное обозначение, в которое наряду с наименованием воды входит изобразительный элемент, не имеющий сходства с использованным в товарном знаке истца. Наименование воды включено в оба товарных знака в качестве неохраняемого элемента.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Суд первой инстанции, удовлетворяя иск, признал регистрацию товарного знака ответчика недействительной, так как в качестве словесного элемента товарного знака ответчика использовано название водоносного комплекса, которое указывает на свойства минеральной воды, поэтому в силу пункта 1 статьи 6 Закона Российской Федерации "О товарных знаках, знаках обслуживания и наименованиях мест происхождения товаров" могло быть включено в товарный знак в качестве неохраняемого элемента только в случае, если оно не занимает в нем доминирующее положение.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товарном знаке ответчика словесное обозначение занимает 2/3 поля товарного знака, по месторасположению и цветовому решению воспринимается как основная его часть. 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Суд кассационной инстанции, отменяя решение суда первой инстанции, указал, что арбитражный суд не мог признать недействительной регистрацию товарного знака, поскольку истец заявил иск о пресечении нарушений своих прав на товарный знак путем применения иной формы защиты.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в соответствии со статьей 28 Закона Российской Федерации "О товарных знаках, знаках обслуживания и наименованиях мест происхождения товаров" возражение против регистрации товарного знака подается в Апелляционную палату, потому арбитражный суд не может принять к своему производству дело до рассмотрения спора в административном порядке.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10. Требование о защите прав на товарный знак путем публикации судебного решения в конкретном печатном издании должно быть обоснованным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Владелец товарного знака обратился в арбитражный суд с иском о защите прав на товарный знак путем его удаления с введенной в хозяйственный оборот продукции и опубликования решения в трех газетах.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со статьей 46 Закона Российской Федерации "О товарных знаках, знаках обслуживания и наименованиях мест происхождения товаров" защита прав осуществляется путем публикации судебного решения в целях восстановления деловой репутации потерпевшего.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Арбитражный суд удовлетворил иск, поскольку ответчик изготовил и продал швейные изделия, незаконно использовав товарный знак истца. В решении суд назвал конкретное печатное издание, в котором в установленный срок должно быть опубликовано судебное решение, так как именно данное издание помещало рекламу ответчика о продаже товара и распространялось в месте реализации товара.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11. Если удаление товарного знака невозможно без причинения существенного вреда самому товару, суд не может принять решение об уничтожении товара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Иностранная фирма обратилась в арбитражный суд с иском о прекращении нарушения прав на товарный знак и уничтожении канцелярских изделий, на которые он нанесен, поскольку уничтожение товарного знака невозможно без утраты потребительских свойств этой продукции.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Арбитражный суд, рассмотрев материалы дела, признал, что ответчик нарушил права истца на товарный знак и своим решением обязал ответчика прекратить незаконное его использование. 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Арбитражный суд отклонил требование истца об уничтожении самого товара, поскольку такая мера ответственности не установлена статьей 46 Закона Российской Федерации "О товарных знаках, знаках обслуживания и наименованиях мест происхождения товаров". 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12. Нарушение порядка оформления возражения или процедуры его рассмотрения не является основанием для признания недействительным решения Апелляционной палаты</w:t>
      </w:r>
      <w:r>
        <w:rPr>
          <w:color w:val="000000"/>
          <w:sz w:val="24"/>
          <w:szCs w:val="24"/>
        </w:rPr>
        <w:t xml:space="preserve"> 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Владелец товарного знака обратился в арбитражный суд с иском о признании недействительным решения Апелляционной палаты, аннулировавшей регистрацию его товарного знака в соответствии со статьей 28 Закона Российской Федерации "О товарных знаках, знаках обслуживания и наименованиях мест происхождения товаров", ссылаясь на то, что возражение в Апелляционную палату подписано должностным лицом по доверенности, оформленной с нарушением статей 181, 185 Гражданского кодекса Российской Федерации, а уведомление о заседании направлено ему позднее месячного срока, установленного пунктом 5.2.2 Порядка подачи и рассмотрения жалоб и возражений в Апелляционном совете патентной экспертизы, утвержденного приказом Госпатента СССР от 26.08.91 N 68.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разрешении спора арбитражный суд отказал в иске, так как установил наличие оснований для признания регистрации товарного знака истца недействительной. Решение Апелляционной палаты не может быть признано недействительным, если оно вынесено в соответствии со статьей 28 Закона Российской Федерации "О товарных знаках, знаках обслуживания и наименованиях мест происхождения товаров". 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Нарушение процедуры рассмотрения возражения в административном порядке не может служить мотивом для отмены решения Апелляционной палаты.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13. Нарушением прав на товарный знак признается введение в хозяйственный оборот обозначения, сходного до степени смешения, с зарегистрированным товарным знаком в отношении однородных товаров или услуг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Акционерное общество обратилось в арбитражный суд с требованием о прекращении действий ответчика по введению в хозяйственный оборот в отношении однородных товаров обозначения, сходного до степени смешения с зарегистрированным на его имя товарным знаком. 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Исковые требования были удовлетворены.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Принятое решение отменено как необоснованное, дело направлено на новое рассмотрение. 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пункту 2 статьи 4 Закона Российской Федерации "О товарных знаках, знаках обслуживания и наименованиях мест происхождения товаров" нарушением прав владельца товарного знака признается несанкционированное изготовление, применение, ввоз, предложение к продаже, продажа, иное введение в хозяйственный оборот или хранение с этой целью товарного знака или товара, обозначенного этим знаком, или обозначения, сходного с ним до степени смешения, в отношении однородных товаров.</w:t>
      </w:r>
    </w:p>
    <w:p w:rsidR="002D33D1" w:rsidRDefault="002D3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Поскольку суд установил, что ответчик использует обозначение не тождественное товарному знаку истца, по делу должно быть установлено, какие обозначения сходны с товарным знаком истца и по каким конкретно признакам сходства происходит их смешение.</w:t>
      </w:r>
    </w:p>
    <w:p w:rsidR="002D33D1" w:rsidRDefault="002D33D1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D33D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4417"/>
    <w:multiLevelType w:val="hybridMultilevel"/>
    <w:tmpl w:val="E8443914"/>
    <w:lvl w:ilvl="0" w:tplc="2F2C1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6E12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385D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5A4C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6E25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B42D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0AF4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6A13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DA13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72EF4"/>
    <w:multiLevelType w:val="hybridMultilevel"/>
    <w:tmpl w:val="002268EE"/>
    <w:lvl w:ilvl="0" w:tplc="F94EE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C285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ECCD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3690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4E9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C010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D036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F04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3CE0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B169B"/>
    <w:multiLevelType w:val="hybridMultilevel"/>
    <w:tmpl w:val="0046D466"/>
    <w:lvl w:ilvl="0" w:tplc="C9485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09C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E67E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5C4C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D414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2C72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1C9E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4A75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BCDB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A3648"/>
    <w:multiLevelType w:val="hybridMultilevel"/>
    <w:tmpl w:val="3A009A5E"/>
    <w:lvl w:ilvl="0" w:tplc="82883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F023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389F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3A20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A034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9418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22AD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C45A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B20C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310AB"/>
    <w:multiLevelType w:val="hybridMultilevel"/>
    <w:tmpl w:val="65A62A8A"/>
    <w:lvl w:ilvl="0" w:tplc="50C29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68D7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1483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A857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4EBE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46BE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6CF8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A87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0680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796085"/>
    <w:multiLevelType w:val="hybridMultilevel"/>
    <w:tmpl w:val="2520A5DC"/>
    <w:lvl w:ilvl="0" w:tplc="87CE9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46C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9C4E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F01F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014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6B2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3C74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E87B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7A52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1E2ECA"/>
    <w:multiLevelType w:val="hybridMultilevel"/>
    <w:tmpl w:val="779CFAF4"/>
    <w:lvl w:ilvl="0" w:tplc="F5E4B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F081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061D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C484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A88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B09F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C445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AD4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0A41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695837"/>
    <w:multiLevelType w:val="hybridMultilevel"/>
    <w:tmpl w:val="E96ECBA8"/>
    <w:lvl w:ilvl="0" w:tplc="AA201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B239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0C7C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044F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E45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987B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78AA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506F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4CFC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496829"/>
    <w:multiLevelType w:val="hybridMultilevel"/>
    <w:tmpl w:val="7C322254"/>
    <w:lvl w:ilvl="0" w:tplc="77D6E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5C3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CD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58CB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C6B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3AF1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7A49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52F0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FEB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9F2554"/>
    <w:multiLevelType w:val="hybridMultilevel"/>
    <w:tmpl w:val="7EB6AD3E"/>
    <w:lvl w:ilvl="0" w:tplc="AF864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B688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28F0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4E87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F0AF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D0F5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A872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76ED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3494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8C5B93"/>
    <w:multiLevelType w:val="hybridMultilevel"/>
    <w:tmpl w:val="B100EA40"/>
    <w:lvl w:ilvl="0" w:tplc="2EBA07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B0817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4823C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37C1F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28017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5528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F9CC6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434C0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37CB3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525282E"/>
    <w:multiLevelType w:val="hybridMultilevel"/>
    <w:tmpl w:val="609CAD60"/>
    <w:lvl w:ilvl="0" w:tplc="ADBEF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56C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9051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5EEA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A441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E227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EE81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224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C6D5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CF08BA"/>
    <w:multiLevelType w:val="hybridMultilevel"/>
    <w:tmpl w:val="E5E04B84"/>
    <w:lvl w:ilvl="0" w:tplc="81203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1A8B8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3056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BFE69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E2C26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2D68C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122B6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7EADE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568F8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10307B0"/>
    <w:multiLevelType w:val="hybridMultilevel"/>
    <w:tmpl w:val="4B321E9E"/>
    <w:lvl w:ilvl="0" w:tplc="FA180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F689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5C5C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16D4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A0D7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3E70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7604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9EC7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E14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F5464B"/>
    <w:multiLevelType w:val="hybridMultilevel"/>
    <w:tmpl w:val="F8B0015C"/>
    <w:lvl w:ilvl="0" w:tplc="65862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70E5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E658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F6DF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8A32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84C3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ECC7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1EDC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E09E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65254E"/>
    <w:multiLevelType w:val="hybridMultilevel"/>
    <w:tmpl w:val="C0E83672"/>
    <w:lvl w:ilvl="0" w:tplc="162E5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0E08C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BD0D2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4FC6E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516E0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EF637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C07C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F0E2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DFAF4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FA43271"/>
    <w:multiLevelType w:val="hybridMultilevel"/>
    <w:tmpl w:val="A55C5A1C"/>
    <w:lvl w:ilvl="0" w:tplc="7BCCB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77618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4262A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F1880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C3891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7142D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05448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2F405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D8CD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4E96109"/>
    <w:multiLevelType w:val="hybridMultilevel"/>
    <w:tmpl w:val="D1F095D2"/>
    <w:lvl w:ilvl="0" w:tplc="16B69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1CD9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5C4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BA0E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4096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2C7D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F2FC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EAA7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E472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1D1E79"/>
    <w:multiLevelType w:val="hybridMultilevel"/>
    <w:tmpl w:val="795E736C"/>
    <w:lvl w:ilvl="0" w:tplc="8D86F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DAD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40C8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5205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FC6B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407E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70D5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84E5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32BE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34648D"/>
    <w:multiLevelType w:val="hybridMultilevel"/>
    <w:tmpl w:val="690AFF88"/>
    <w:lvl w:ilvl="0" w:tplc="A5DEB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8747E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2AE5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3FC03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586D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A2EC1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1124E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0B2A1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58E10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4D4064F4"/>
    <w:multiLevelType w:val="hybridMultilevel"/>
    <w:tmpl w:val="5DBEC6C6"/>
    <w:lvl w:ilvl="0" w:tplc="3B36F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0CE0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3407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E497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F6E1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3650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E005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F078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C862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B915F7"/>
    <w:multiLevelType w:val="hybridMultilevel"/>
    <w:tmpl w:val="9AD2E31A"/>
    <w:lvl w:ilvl="0" w:tplc="F1A02C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0BA24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ED895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79423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92CD8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F1A81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47417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726C5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D7AC7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54017006"/>
    <w:multiLevelType w:val="hybridMultilevel"/>
    <w:tmpl w:val="D8F0F520"/>
    <w:lvl w:ilvl="0" w:tplc="4D5C4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AAD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D24F4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458B5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32CD2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A9C9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B4EEA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51C93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1ECA7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542A0AFA"/>
    <w:multiLevelType w:val="hybridMultilevel"/>
    <w:tmpl w:val="71E27856"/>
    <w:lvl w:ilvl="0" w:tplc="0C50B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3878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34E1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AEE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C8D1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22D0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70B8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AEC7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CA67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0C434D"/>
    <w:multiLevelType w:val="hybridMultilevel"/>
    <w:tmpl w:val="46BAE3DC"/>
    <w:lvl w:ilvl="0" w:tplc="F7809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4AE3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A6E6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BAC1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305A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7056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1E2A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2A8A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CE38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200E49"/>
    <w:multiLevelType w:val="hybridMultilevel"/>
    <w:tmpl w:val="7F323E56"/>
    <w:lvl w:ilvl="0" w:tplc="B7C0E0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E26F8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474CC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43006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62C9C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67281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D4DE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A72A5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F1860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6C7816AF"/>
    <w:multiLevelType w:val="hybridMultilevel"/>
    <w:tmpl w:val="B8E8481A"/>
    <w:lvl w:ilvl="0" w:tplc="72605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A64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5AEA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F65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F8F8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4EE0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28A2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A227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2283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FB71A0"/>
    <w:multiLevelType w:val="hybridMultilevel"/>
    <w:tmpl w:val="A94C5C62"/>
    <w:lvl w:ilvl="0" w:tplc="AB7C6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F72D9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2A843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726E4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50ED7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DFED6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6FA8C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806AA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218B3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73670D6F"/>
    <w:multiLevelType w:val="hybridMultilevel"/>
    <w:tmpl w:val="267A776A"/>
    <w:lvl w:ilvl="0" w:tplc="8E642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9E6D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8C2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6C1E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EC0F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E434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E856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18DA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F059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5D0C12"/>
    <w:multiLevelType w:val="hybridMultilevel"/>
    <w:tmpl w:val="65CCD336"/>
    <w:lvl w:ilvl="0" w:tplc="449C6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BA7F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9AED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96A7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164A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E667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AA63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E23F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8A92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5B1350"/>
    <w:multiLevelType w:val="hybridMultilevel"/>
    <w:tmpl w:val="182C9A0A"/>
    <w:lvl w:ilvl="0" w:tplc="FEB02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88286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9AA3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164DE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8366E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E6625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28A84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FA08B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C1A87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78C02C6E"/>
    <w:multiLevelType w:val="hybridMultilevel"/>
    <w:tmpl w:val="877AD196"/>
    <w:lvl w:ilvl="0" w:tplc="0AD4B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7C2D1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4780C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75840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A8A23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AC008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38F4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86631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DAE16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7CCA13AA"/>
    <w:multiLevelType w:val="hybridMultilevel"/>
    <w:tmpl w:val="120EF3D6"/>
    <w:lvl w:ilvl="0" w:tplc="EE5CF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DDADE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654E8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AC2B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320AC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8B45C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6B61E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BB0C4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B8AA4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9"/>
  </w:num>
  <w:num w:numId="5">
    <w:abstractNumId w:val="8"/>
  </w:num>
  <w:num w:numId="6">
    <w:abstractNumId w:val="26"/>
  </w:num>
  <w:num w:numId="7">
    <w:abstractNumId w:val="27"/>
  </w:num>
  <w:num w:numId="8">
    <w:abstractNumId w:val="30"/>
  </w:num>
  <w:num w:numId="9">
    <w:abstractNumId w:val="5"/>
  </w:num>
  <w:num w:numId="10">
    <w:abstractNumId w:val="19"/>
  </w:num>
  <w:num w:numId="11">
    <w:abstractNumId w:val="25"/>
  </w:num>
  <w:num w:numId="12">
    <w:abstractNumId w:val="12"/>
  </w:num>
  <w:num w:numId="13">
    <w:abstractNumId w:val="21"/>
  </w:num>
  <w:num w:numId="14">
    <w:abstractNumId w:val="31"/>
  </w:num>
  <w:num w:numId="15">
    <w:abstractNumId w:val="10"/>
  </w:num>
  <w:num w:numId="16">
    <w:abstractNumId w:val="23"/>
  </w:num>
  <w:num w:numId="17">
    <w:abstractNumId w:val="18"/>
  </w:num>
  <w:num w:numId="18">
    <w:abstractNumId w:val="1"/>
  </w:num>
  <w:num w:numId="19">
    <w:abstractNumId w:val="20"/>
  </w:num>
  <w:num w:numId="20">
    <w:abstractNumId w:val="2"/>
  </w:num>
  <w:num w:numId="21">
    <w:abstractNumId w:val="22"/>
  </w:num>
  <w:num w:numId="22">
    <w:abstractNumId w:val="15"/>
  </w:num>
  <w:num w:numId="23">
    <w:abstractNumId w:val="32"/>
  </w:num>
  <w:num w:numId="24">
    <w:abstractNumId w:val="28"/>
  </w:num>
  <w:num w:numId="25">
    <w:abstractNumId w:val="16"/>
  </w:num>
  <w:num w:numId="26">
    <w:abstractNumId w:val="7"/>
  </w:num>
  <w:num w:numId="27">
    <w:abstractNumId w:val="0"/>
  </w:num>
  <w:num w:numId="28">
    <w:abstractNumId w:val="17"/>
  </w:num>
  <w:num w:numId="29">
    <w:abstractNumId w:val="24"/>
  </w:num>
  <w:num w:numId="30">
    <w:abstractNumId w:val="29"/>
  </w:num>
  <w:num w:numId="31">
    <w:abstractNumId w:val="6"/>
  </w:num>
  <w:num w:numId="32">
    <w:abstractNumId w:val="4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D86"/>
    <w:rsid w:val="002C23DC"/>
    <w:rsid w:val="002D33D1"/>
    <w:rsid w:val="007C5B83"/>
    <w:rsid w:val="00B1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A7483D4-838A-4463-BA76-340C4B45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b/>
      <w:bCs/>
      <w:color w:val="000080"/>
      <w:u w:val="none"/>
      <w:effect w:val="none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Emphasis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2427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 практики разрешения споров, связанных с защитой прав на товарный знак </vt:lpstr>
    </vt:vector>
  </TitlesOfParts>
  <Company>PERSONAL COMPUTERS</Company>
  <LinksUpToDate>false</LinksUpToDate>
  <CharactersWithSpaces>16230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практики разрешения споров, связанных с защитой прав на товарный знак </dc:title>
  <dc:subject/>
  <dc:creator>USER</dc:creator>
  <cp:keywords/>
  <dc:description/>
  <cp:lastModifiedBy>Irina</cp:lastModifiedBy>
  <cp:revision>2</cp:revision>
  <dcterms:created xsi:type="dcterms:W3CDTF">2014-08-07T13:57:00Z</dcterms:created>
  <dcterms:modified xsi:type="dcterms:W3CDTF">2014-08-07T13:57:00Z</dcterms:modified>
</cp:coreProperties>
</file>