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17" w:rsidRPr="00CC7BD6" w:rsidRDefault="00BD5ACC" w:rsidP="00AD7917">
      <w:pPr>
        <w:pStyle w:val="a4"/>
        <w:spacing w:line="360" w:lineRule="auto"/>
        <w:ind w:firstLine="708"/>
        <w:jc w:val="center"/>
      </w:pPr>
      <w:r>
        <w:rPr>
          <w:noProof/>
        </w:rPr>
        <w:pict>
          <v:rect id="_x0000_s1026" style="position:absolute;left:0;text-align:left;margin-left:-9pt;margin-top:-18pt;width:477pt;height:747pt;z-index:-251658752"/>
        </w:pict>
      </w:r>
      <w:r w:rsidR="00AD7917" w:rsidRPr="00CC7BD6">
        <w:t>Министерство образования Российской Федерации</w:t>
      </w:r>
    </w:p>
    <w:p w:rsidR="00AD7917" w:rsidRPr="00CC7BD6" w:rsidRDefault="00AD7917" w:rsidP="00AD7917">
      <w:pPr>
        <w:pStyle w:val="a4"/>
        <w:spacing w:line="360" w:lineRule="auto"/>
        <w:ind w:firstLine="708"/>
        <w:jc w:val="center"/>
      </w:pPr>
      <w:r w:rsidRPr="00CC7BD6">
        <w:t>Южно-Уральский государственный университет</w:t>
      </w:r>
    </w:p>
    <w:p w:rsidR="00AD7917" w:rsidRDefault="00AD7917" w:rsidP="00AD7917">
      <w:pPr>
        <w:pStyle w:val="a4"/>
        <w:spacing w:line="360" w:lineRule="auto"/>
        <w:ind w:firstLine="708"/>
        <w:jc w:val="center"/>
      </w:pPr>
    </w:p>
    <w:p w:rsidR="00AD7917" w:rsidRDefault="00AD7917" w:rsidP="00AD7917">
      <w:pPr>
        <w:pStyle w:val="a4"/>
        <w:spacing w:line="360" w:lineRule="auto"/>
        <w:ind w:firstLine="708"/>
        <w:jc w:val="center"/>
      </w:pPr>
    </w:p>
    <w:p w:rsidR="00AD7917" w:rsidRPr="005F2040" w:rsidRDefault="00AD7917" w:rsidP="005F2040">
      <w:pPr>
        <w:pStyle w:val="a4"/>
        <w:spacing w:line="360" w:lineRule="auto"/>
        <w:ind w:firstLine="708"/>
        <w:jc w:val="center"/>
        <w:rPr>
          <w:sz w:val="32"/>
          <w:szCs w:val="32"/>
        </w:rPr>
      </w:pPr>
    </w:p>
    <w:p w:rsidR="005F2040" w:rsidRDefault="005F2040" w:rsidP="00AD7917">
      <w:pPr>
        <w:pStyle w:val="a4"/>
        <w:spacing w:line="360" w:lineRule="auto"/>
        <w:ind w:firstLine="708"/>
      </w:pPr>
    </w:p>
    <w:p w:rsidR="005F2040" w:rsidRDefault="001D0C60" w:rsidP="001D0C60">
      <w:pPr>
        <w:pStyle w:val="a4"/>
        <w:spacing w:line="360" w:lineRule="auto"/>
        <w:ind w:firstLine="708"/>
        <w:jc w:val="center"/>
      </w:pPr>
      <w:r>
        <w:t xml:space="preserve">РЕФЕРАТ </w:t>
      </w:r>
    </w:p>
    <w:p w:rsidR="00AD7917" w:rsidRPr="00A73BC1" w:rsidRDefault="001D0C60" w:rsidP="001D0C60">
      <w:pPr>
        <w:pStyle w:val="a4"/>
        <w:spacing w:line="360" w:lineRule="auto"/>
        <w:ind w:firstLine="708"/>
        <w:jc w:val="center"/>
        <w:rPr>
          <w:rFonts w:ascii="Arial" w:hAnsi="Arial" w:cs="Arial"/>
          <w:b/>
          <w:bCs/>
          <w:u w:val="single"/>
        </w:rPr>
      </w:pPr>
      <w:r>
        <w:t xml:space="preserve">По дисциплине </w:t>
      </w:r>
      <w:r w:rsidR="00B84E16">
        <w:t>ФИНАНСОВЫЙ МЕНЕДЖМЕНТ</w:t>
      </w:r>
    </w:p>
    <w:p w:rsidR="00AD7917" w:rsidRPr="00B45EDB" w:rsidRDefault="00AD7917" w:rsidP="00B238B3">
      <w:pPr>
        <w:spacing w:before="0" w:line="360" w:lineRule="auto"/>
        <w:ind w:left="2832" w:hanging="142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4E16">
        <w:rPr>
          <w:rFonts w:ascii="Times New Roman" w:hAnsi="Times New Roman" w:cs="Times New Roman"/>
          <w:color w:val="auto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4E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8B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84E16" w:rsidRPr="00B238B3">
        <w:rPr>
          <w:color w:val="auto"/>
          <w:sz w:val="28"/>
          <w:szCs w:val="28"/>
        </w:rPr>
        <w:t>Оценка портфельного риска. Бюджетные индексы. Понятие бета-коэффициента</w:t>
      </w:r>
    </w:p>
    <w:p w:rsidR="00AD7917" w:rsidRPr="00CC7BD6" w:rsidRDefault="00AD7917" w:rsidP="00AD7917">
      <w:pPr>
        <w:pStyle w:val="a4"/>
        <w:spacing w:line="360" w:lineRule="auto"/>
        <w:ind w:firstLine="708"/>
      </w:pPr>
      <w:r w:rsidRPr="00CC7BD6">
        <w:t xml:space="preserve">Студентка </w:t>
      </w:r>
      <w:r>
        <w:t>3</w:t>
      </w:r>
      <w:r w:rsidRPr="00CC7BD6">
        <w:t xml:space="preserve"> курса</w:t>
      </w:r>
    </w:p>
    <w:p w:rsidR="00AD7917" w:rsidRPr="00CC7BD6" w:rsidRDefault="00AD7917" w:rsidP="00AD7917">
      <w:pPr>
        <w:pStyle w:val="a4"/>
        <w:spacing w:line="360" w:lineRule="auto"/>
        <w:ind w:firstLine="708"/>
      </w:pPr>
      <w:r w:rsidRPr="00CC7BD6">
        <w:t xml:space="preserve">группы </w:t>
      </w:r>
      <w:r>
        <w:t>352</w:t>
      </w:r>
      <w:r w:rsidRPr="00CC7BD6">
        <w:t xml:space="preserve"> СТБЗу</w:t>
      </w:r>
    </w:p>
    <w:p w:rsidR="005F2040" w:rsidRDefault="00AD7917" w:rsidP="00AD7917">
      <w:pPr>
        <w:pStyle w:val="a4"/>
        <w:spacing w:line="360" w:lineRule="auto"/>
        <w:ind w:firstLine="708"/>
        <w:rPr>
          <w:i/>
          <w:iCs/>
        </w:rPr>
      </w:pPr>
      <w:r w:rsidRPr="00CC7BD6">
        <w:rPr>
          <w:i/>
          <w:iCs/>
        </w:rPr>
        <w:t xml:space="preserve">Соколова </w:t>
      </w:r>
      <w:r w:rsidR="005F2040">
        <w:rPr>
          <w:i/>
          <w:iCs/>
        </w:rPr>
        <w:t>Ю.С.</w:t>
      </w:r>
    </w:p>
    <w:p w:rsidR="00AD7917" w:rsidRDefault="00AD7917" w:rsidP="00AD7917">
      <w:pPr>
        <w:pStyle w:val="a4"/>
        <w:spacing w:line="360" w:lineRule="auto"/>
        <w:ind w:firstLine="708"/>
      </w:pPr>
      <w:r w:rsidRPr="00CC7BD6">
        <w:t xml:space="preserve">Руководитель </w:t>
      </w:r>
    </w:p>
    <w:p w:rsidR="00AD7917" w:rsidRDefault="005F2040" w:rsidP="00B84E16">
      <w:pPr>
        <w:pStyle w:val="a4"/>
        <w:spacing w:line="360" w:lineRule="auto"/>
        <w:ind w:firstLine="708"/>
      </w:pPr>
      <w:r>
        <w:t>Вершинина</w:t>
      </w:r>
      <w:r w:rsidR="00B84E16">
        <w:t xml:space="preserve"> </w:t>
      </w:r>
      <w:r>
        <w:t>В.А.</w:t>
      </w:r>
    </w:p>
    <w:p w:rsidR="00AD7917" w:rsidRDefault="00AD7917" w:rsidP="00AD7917">
      <w:pPr>
        <w:pStyle w:val="a4"/>
        <w:spacing w:line="360" w:lineRule="auto"/>
        <w:jc w:val="center"/>
      </w:pPr>
    </w:p>
    <w:p w:rsidR="005F2040" w:rsidRDefault="005F2040" w:rsidP="00AD7917">
      <w:pPr>
        <w:pStyle w:val="a4"/>
        <w:spacing w:line="360" w:lineRule="auto"/>
        <w:jc w:val="center"/>
      </w:pPr>
      <w:r>
        <w:t>ЧЕЛЯБИНСК</w:t>
      </w:r>
    </w:p>
    <w:p w:rsidR="00AD7917" w:rsidRPr="00CC7BD6" w:rsidRDefault="00AD7917" w:rsidP="00AD7917">
      <w:pPr>
        <w:pStyle w:val="a4"/>
        <w:spacing w:line="360" w:lineRule="auto"/>
        <w:jc w:val="center"/>
      </w:pPr>
      <w:r w:rsidRPr="00CC7BD6">
        <w:t>2004</w:t>
      </w:r>
    </w:p>
    <w:p w:rsidR="00AD7917" w:rsidRDefault="00AD7917" w:rsidP="002A4956">
      <w:pPr>
        <w:pStyle w:val="HTML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75E14" w:rsidRDefault="00E75E14" w:rsidP="002A4956">
      <w:pPr>
        <w:pStyle w:val="HTML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4D7845" w:rsidRDefault="004D7845" w:rsidP="002A4956">
      <w:pPr>
        <w:pStyle w:val="HTML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D7845" w:rsidRDefault="004D7845" w:rsidP="002A4956">
      <w:pPr>
        <w:pStyle w:val="HTML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75E14" w:rsidRDefault="00E75E14" w:rsidP="002A4956">
      <w:pPr>
        <w:pStyle w:val="HTML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Оценка портфельного риска</w:t>
      </w:r>
      <w:r w:rsidR="00426C03">
        <w:rPr>
          <w:color w:val="000000"/>
          <w:sz w:val="28"/>
          <w:szCs w:val="28"/>
        </w:rPr>
        <w:t>……………………………………………….3</w:t>
      </w:r>
    </w:p>
    <w:p w:rsidR="004D7845" w:rsidRDefault="004D7845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Бюджетные индексы</w:t>
      </w:r>
      <w:r w:rsidR="00426C03">
        <w:rPr>
          <w:color w:val="000000"/>
          <w:sz w:val="28"/>
          <w:szCs w:val="28"/>
        </w:rPr>
        <w:t>……………………………………………………….4</w:t>
      </w:r>
    </w:p>
    <w:p w:rsidR="004D7845" w:rsidRDefault="004D7845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Понятие бета-коэффициента</w:t>
      </w:r>
      <w:r w:rsidR="00426C03">
        <w:rPr>
          <w:color w:val="000000"/>
          <w:sz w:val="28"/>
          <w:szCs w:val="28"/>
        </w:rPr>
        <w:t>……………………………………………….6</w:t>
      </w:r>
    </w:p>
    <w:p w:rsidR="004D7845" w:rsidRDefault="004D7845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4D7845" w:rsidRDefault="004D7845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БИБИЛИОГРАФИЧЕСКИЙ СПИСОК</w:t>
      </w:r>
      <w:r w:rsidR="00426C03">
        <w:rPr>
          <w:color w:val="000000"/>
          <w:sz w:val="28"/>
          <w:szCs w:val="28"/>
        </w:rPr>
        <w:t>………………………………………15</w:t>
      </w: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E75E14" w:rsidRDefault="00E75E14" w:rsidP="00E75E14">
      <w:pPr>
        <w:pStyle w:val="HTML"/>
        <w:spacing w:line="360" w:lineRule="auto"/>
        <w:rPr>
          <w:color w:val="000000"/>
          <w:sz w:val="28"/>
          <w:szCs w:val="28"/>
        </w:rPr>
      </w:pPr>
    </w:p>
    <w:p w:rsidR="004D7845" w:rsidRDefault="004D7845" w:rsidP="002A4956">
      <w:pPr>
        <w:pStyle w:val="HTML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A4956" w:rsidRPr="00FC2FCE" w:rsidRDefault="003A3439" w:rsidP="002A4956">
      <w:pPr>
        <w:pStyle w:val="HTML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2A4956" w:rsidRPr="00FC2FCE">
        <w:rPr>
          <w:b/>
          <w:bCs/>
          <w:color w:val="000000"/>
          <w:sz w:val="28"/>
          <w:szCs w:val="28"/>
        </w:rPr>
        <w:t>ОЦЕНКА ПОРТФЕЛЬНОГО РИСКА</w:t>
      </w:r>
    </w:p>
    <w:p w:rsidR="007E6012" w:rsidRPr="00FC2FCE" w:rsidRDefault="002A4956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ab/>
      </w:r>
      <w:r w:rsidR="007E6012" w:rsidRPr="00FC2FCE">
        <w:rPr>
          <w:color w:val="000000"/>
          <w:sz w:val="28"/>
          <w:szCs w:val="28"/>
        </w:rPr>
        <w:t>Современный подход к проблеме оценки риска включает два, достаточно различных, дополняющих друг друга, подхода: метод оценки величины под риском - VAR (Value At Risk), базирующийся на анализе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>статистической природы рынка, и метод анализа чувствительности портфеля к изменениям параметров рынка (</w:t>
      </w:r>
      <w:r w:rsidRPr="00FC2FCE">
        <w:rPr>
          <w:color w:val="000000"/>
          <w:sz w:val="28"/>
          <w:szCs w:val="28"/>
          <w:lang w:val="en-US"/>
        </w:rPr>
        <w:t>Stress</w:t>
      </w:r>
      <w:r w:rsidRPr="00FC2FCE">
        <w:rPr>
          <w:color w:val="000000"/>
          <w:sz w:val="28"/>
          <w:szCs w:val="28"/>
        </w:rPr>
        <w:t xml:space="preserve"> </w:t>
      </w:r>
      <w:r w:rsidRPr="00FC2FCE">
        <w:rPr>
          <w:color w:val="000000"/>
          <w:sz w:val="28"/>
          <w:szCs w:val="28"/>
          <w:lang w:val="en-US"/>
        </w:rPr>
        <w:t>or</w:t>
      </w:r>
      <w:r w:rsidRPr="00FC2FCE">
        <w:rPr>
          <w:color w:val="000000"/>
          <w:sz w:val="28"/>
          <w:szCs w:val="28"/>
        </w:rPr>
        <w:t xml:space="preserve"> </w:t>
      </w:r>
      <w:r w:rsidRPr="00FC2FCE">
        <w:rPr>
          <w:color w:val="000000"/>
          <w:sz w:val="28"/>
          <w:szCs w:val="28"/>
          <w:lang w:val="en-US"/>
        </w:rPr>
        <w:t>Sensitivity</w:t>
      </w:r>
      <w:r w:rsidRPr="00FC2FCE">
        <w:rPr>
          <w:color w:val="000000"/>
          <w:sz w:val="28"/>
          <w:szCs w:val="28"/>
        </w:rPr>
        <w:t xml:space="preserve"> </w:t>
      </w:r>
      <w:r w:rsidRPr="00FC2FCE">
        <w:rPr>
          <w:color w:val="000000"/>
          <w:sz w:val="28"/>
          <w:szCs w:val="28"/>
          <w:lang w:val="en-US"/>
        </w:rPr>
        <w:t>Testing</w:t>
      </w:r>
      <w:r w:rsidRPr="00FC2FCE">
        <w:rPr>
          <w:color w:val="000000"/>
          <w:sz w:val="28"/>
          <w:szCs w:val="28"/>
        </w:rPr>
        <w:t>).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</w:p>
    <w:p w:rsidR="007E6012" w:rsidRPr="00FC2FCE" w:rsidRDefault="004F6AF9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ab/>
      </w:r>
      <w:r w:rsidR="007E6012" w:rsidRPr="00FC2FCE">
        <w:rPr>
          <w:color w:val="000000"/>
          <w:sz w:val="28"/>
          <w:szCs w:val="28"/>
        </w:rPr>
        <w:t>VAR является полезным критерием оценки риска особенно при наличии дополнительной информации о корреляции инструментов. Однако, консервативнее - игнорировать корреляции, поскольку они нередко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>нарушаются, в частности в периоды кризисов, т.е. во время значительных неожиданных сдвигов рынка. Кроме того, сильная корреляционная зависимость VAR удобна для желающих "спрятать" риск - просто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>вводи отрицательную корреляцию и риск обнуляется. Корреляции - не являются прямыми наблюдаемыми величинами рынка и, следовательно, открыты как для честной, так и для прочей игры. VAR имеет одно важное привлекательное свойство - все измерение риска сведено к одному числу, и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>свести к этому числу общение, как с клиентом, так и с топ менеджером, наиболее просто и одновременно наукообразно. Но хорошо ли это? Возможно это дешевле и проще, но едва ли безопаснее.</w:t>
      </w:r>
      <w:r w:rsidR="004F6AF9" w:rsidRPr="00FC2FCE">
        <w:rPr>
          <w:color w:val="000000"/>
          <w:sz w:val="28"/>
          <w:szCs w:val="28"/>
        </w:rPr>
        <w:t xml:space="preserve"> </w:t>
      </w:r>
      <w:r w:rsidRPr="00FC2FCE">
        <w:rPr>
          <w:color w:val="000000"/>
          <w:sz w:val="28"/>
          <w:szCs w:val="28"/>
        </w:rPr>
        <w:t>VAR выбрасывает все значительные и интересные детали, необходимые для реального понимания рыночных рисков</w:t>
      </w:r>
      <w:r w:rsidR="004F6AF9" w:rsidRPr="00FC2FCE">
        <w:rPr>
          <w:color w:val="000000"/>
          <w:sz w:val="28"/>
          <w:szCs w:val="28"/>
        </w:rPr>
        <w:t>,</w:t>
      </w:r>
      <w:r w:rsidRPr="00FC2FCE">
        <w:rPr>
          <w:color w:val="000000"/>
          <w:sz w:val="28"/>
          <w:szCs w:val="28"/>
        </w:rPr>
        <w:t xml:space="preserve"> не указывает какой рынок дает вклад в риск, какие структурные изменения портфеля подвергают большему риску.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ab/>
        <w:t>Ответы на эти вопросы можно получить с помощью метода анализа чувствительности портфеля к изменениям параметров рынка (Stress Testing). VAR, по определению, концентрируется на ожидаемый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 xml:space="preserve">99% (95%) уровень достоверности. И именно Stress Testing позволяет анализировать поведение портфеля в условиях реализации вероятности оставшихся 1% (5%) событий. </w:t>
      </w:r>
    </w:p>
    <w:p w:rsidR="007E6012" w:rsidRPr="00FC2FCE" w:rsidRDefault="004F6AF9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ab/>
      </w:r>
      <w:r w:rsidR="007E6012" w:rsidRPr="00FC2FCE">
        <w:rPr>
          <w:color w:val="000000"/>
          <w:sz w:val="28"/>
          <w:szCs w:val="28"/>
        </w:rPr>
        <w:t>Идея данного метода проста - анализ вариаций подходящей целевой функции (например, доходности или современной стоимости портфеля) в зависимости от вариаций параметров рынка (кривой доходности, изменчивости рыночных цен, обменных курсов и т.п.). Проблема, как всегда в качестве</w:t>
      </w:r>
      <w:r w:rsidRPr="00FC2FCE">
        <w:rPr>
          <w:color w:val="000000"/>
          <w:sz w:val="28"/>
          <w:szCs w:val="28"/>
        </w:rPr>
        <w:t xml:space="preserve"> </w:t>
      </w:r>
      <w:r w:rsidR="007E6012" w:rsidRPr="00FC2FCE">
        <w:rPr>
          <w:color w:val="000000"/>
          <w:sz w:val="28"/>
          <w:szCs w:val="28"/>
        </w:rPr>
        <w:t>реализации. Stress testing позволяет решить проблему резких скачков и выбросов в задаче о</w:t>
      </w:r>
      <w:r w:rsidRPr="00FC2FCE">
        <w:rPr>
          <w:color w:val="000000"/>
          <w:sz w:val="28"/>
          <w:szCs w:val="28"/>
        </w:rPr>
        <w:t xml:space="preserve"> </w:t>
      </w:r>
      <w:r w:rsidR="007E6012" w:rsidRPr="00FC2FCE">
        <w:rPr>
          <w:color w:val="000000"/>
          <w:sz w:val="28"/>
          <w:szCs w:val="28"/>
        </w:rPr>
        <w:t>портфеле. Это инструмент анализа влияния многих, если не всех основных видов параметров риска одновременно, таких как, сдвиги, изменение наклона или изгибы кривой доходности, изменение абсолютной вели</w:t>
      </w:r>
      <w:r w:rsidRPr="00FC2FCE">
        <w:rPr>
          <w:color w:val="000000"/>
          <w:sz w:val="28"/>
          <w:szCs w:val="28"/>
        </w:rPr>
        <w:t xml:space="preserve">чины доходности и изменчивости </w:t>
      </w:r>
      <w:r w:rsidR="007E6012" w:rsidRPr="00FC2FCE">
        <w:rPr>
          <w:color w:val="000000"/>
          <w:sz w:val="28"/>
          <w:szCs w:val="28"/>
        </w:rPr>
        <w:t>и т.д.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ab/>
        <w:t>Т.о., для заданного портфеля можно исследовать изменение его параметров (доходности, современной стоимости) как при краткосрочных, так и при длительных изменениях рынка, выражающихся в резких и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>плавных изменениях доходности инструментов, их корреляций вплоть до моделирования кризисных ситуаций.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ab/>
        <w:t>Определив кривую доходности для данного инструмента на основе, например, ставок межбанковского кредита, доходности государственных бумаг, курса доллара или инфляционных данных, можно затем исследовать поведение портфеля по отношению к изменению наклона этой кривой (т.е.,</w:t>
      </w:r>
    </w:p>
    <w:p w:rsidR="007E6012" w:rsidRPr="00FC2FCE" w:rsidRDefault="007E6012" w:rsidP="007E6012">
      <w:pPr>
        <w:pStyle w:val="HTML"/>
        <w:spacing w:line="360" w:lineRule="auto"/>
        <w:rPr>
          <w:color w:val="000000"/>
          <w:sz w:val="28"/>
          <w:szCs w:val="28"/>
        </w:rPr>
      </w:pPr>
      <w:r w:rsidRPr="00FC2FCE">
        <w:rPr>
          <w:color w:val="000000"/>
          <w:sz w:val="28"/>
          <w:szCs w:val="28"/>
        </w:rPr>
        <w:t>например, к резкому или плавному изменению темпа инфляции), или к появлению резких скачков в кратко и долгосрочной перспективе, что позволит определить спектр решений при возникновении соответствующего риска.</w:t>
      </w:r>
    </w:p>
    <w:p w:rsidR="002A4956" w:rsidRPr="00FC2FCE" w:rsidRDefault="003A3439" w:rsidP="002A4956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2A4956" w:rsidRPr="00FC2FCE">
        <w:rPr>
          <w:rFonts w:ascii="Times New Roman" w:hAnsi="Times New Roman" w:cs="Times New Roman"/>
          <w:b/>
          <w:bCs/>
        </w:rPr>
        <w:t>БЮДЖЕТНЫЕ ИНДЕКСЫ</w:t>
      </w:r>
    </w:p>
    <w:p w:rsidR="00DB3866" w:rsidRPr="00FC2FCE" w:rsidRDefault="00DB3866" w:rsidP="006D4903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  <w:b/>
          <w:bCs/>
        </w:rPr>
        <w:t>Бюдж</w:t>
      </w:r>
      <w:r w:rsidRPr="00FC2FCE">
        <w:rPr>
          <w:rStyle w:val="accented"/>
          <w:rFonts w:ascii="Times New Roman" w:hAnsi="Times New Roman" w:cs="Times New Roman"/>
          <w:b/>
          <w:bCs/>
        </w:rPr>
        <w:t>е</w:t>
      </w:r>
      <w:r w:rsidRPr="00FC2FCE">
        <w:rPr>
          <w:rFonts w:ascii="Times New Roman" w:hAnsi="Times New Roman" w:cs="Times New Roman"/>
          <w:b/>
          <w:bCs/>
        </w:rPr>
        <w:t xml:space="preserve">тный </w:t>
      </w:r>
      <w:r w:rsidRPr="00FC2FCE">
        <w:rPr>
          <w:rStyle w:val="accented"/>
          <w:rFonts w:ascii="Times New Roman" w:hAnsi="Times New Roman" w:cs="Times New Roman"/>
          <w:b/>
          <w:bCs/>
        </w:rPr>
        <w:t>и</w:t>
      </w:r>
      <w:r w:rsidRPr="00FC2FCE">
        <w:rPr>
          <w:rFonts w:ascii="Times New Roman" w:hAnsi="Times New Roman" w:cs="Times New Roman"/>
          <w:b/>
          <w:bCs/>
        </w:rPr>
        <w:t>ндекс</w:t>
      </w:r>
      <w:r w:rsidRPr="00FC2FCE">
        <w:rPr>
          <w:rFonts w:ascii="Times New Roman" w:hAnsi="Times New Roman" w:cs="Times New Roman"/>
        </w:rPr>
        <w:t>, показатель для изучения динамики материального уровня жизни, называемый иногда индексом «стоимости жизни». Отличается от индекса цен тем, что взвешивается по весам не текущего, а базисного периода. Расчёт Б</w:t>
      </w:r>
      <w:r w:rsidR="003A3439">
        <w:rPr>
          <w:rFonts w:ascii="Times New Roman" w:hAnsi="Times New Roman" w:cs="Times New Roman"/>
        </w:rPr>
        <w:t>юджетного</w:t>
      </w:r>
      <w:r w:rsidRPr="00FC2FCE">
        <w:rPr>
          <w:rFonts w:ascii="Times New Roman" w:hAnsi="Times New Roman" w:cs="Times New Roman"/>
        </w:rPr>
        <w:t xml:space="preserve"> </w:t>
      </w:r>
      <w:r w:rsidR="003A3439">
        <w:rPr>
          <w:rFonts w:ascii="Times New Roman" w:hAnsi="Times New Roman" w:cs="Times New Roman"/>
        </w:rPr>
        <w:t>индекса</w:t>
      </w:r>
      <w:r w:rsidRPr="00FC2FCE">
        <w:rPr>
          <w:rFonts w:ascii="Times New Roman" w:hAnsi="Times New Roman" w:cs="Times New Roman"/>
        </w:rPr>
        <w:t xml:space="preserve"> производится по формуле</w:t>
      </w:r>
    </w:p>
    <w:p w:rsidR="00DB3866" w:rsidRPr="00FC2FCE" w:rsidRDefault="00DB3866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  </w:t>
      </w:r>
      <w:r w:rsidR="00BD5AC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6.75pt">
            <v:imagedata r:id="rId7" o:title=""/>
          </v:shape>
        </w:pict>
      </w:r>
    </w:p>
    <w:p w:rsidR="00DB3866" w:rsidRPr="00FC2FCE" w:rsidRDefault="00DB3866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  <w:i/>
          <w:iCs/>
          <w:strike/>
        </w:rPr>
        <w:t xml:space="preserve">  </w:t>
      </w:r>
      <w:r w:rsidRPr="00FC2FCE">
        <w:rPr>
          <w:rFonts w:ascii="Times New Roman" w:hAnsi="Times New Roman" w:cs="Times New Roman"/>
        </w:rPr>
        <w:t xml:space="preserve">где </w:t>
      </w:r>
      <w:r w:rsidRPr="00FC2FCE">
        <w:rPr>
          <w:rFonts w:ascii="Times New Roman" w:hAnsi="Times New Roman" w:cs="Times New Roman"/>
          <w:i/>
          <w:iCs/>
        </w:rPr>
        <w:t>р</w:t>
      </w:r>
      <w:r w:rsidRPr="00FC2FCE">
        <w:rPr>
          <w:rFonts w:ascii="Times New Roman" w:hAnsi="Times New Roman" w:cs="Times New Roman"/>
          <w:vertAlign w:val="subscript"/>
        </w:rPr>
        <w:t>о</w:t>
      </w:r>
      <w:r w:rsidRPr="00FC2FCE">
        <w:rPr>
          <w:rFonts w:ascii="Times New Roman" w:hAnsi="Times New Roman" w:cs="Times New Roman"/>
        </w:rPr>
        <w:t xml:space="preserve"> и </w:t>
      </w:r>
      <w:r w:rsidRPr="00FC2FCE">
        <w:rPr>
          <w:rFonts w:ascii="Times New Roman" w:hAnsi="Times New Roman" w:cs="Times New Roman"/>
          <w:i/>
          <w:iCs/>
        </w:rPr>
        <w:t>p</w:t>
      </w:r>
      <w:r w:rsidRPr="00FC2FCE">
        <w:rPr>
          <w:rFonts w:ascii="Times New Roman" w:hAnsi="Times New Roman" w:cs="Times New Roman"/>
          <w:vertAlign w:val="subscript"/>
        </w:rPr>
        <w:t xml:space="preserve">1 </w:t>
      </w:r>
      <w:r w:rsidRPr="00FC2FCE">
        <w:rPr>
          <w:rFonts w:ascii="Times New Roman" w:hAnsi="Times New Roman" w:cs="Times New Roman"/>
        </w:rPr>
        <w:t xml:space="preserve">— цены базисного и текущего периода, а </w:t>
      </w:r>
      <w:r w:rsidRPr="00FC2FCE">
        <w:rPr>
          <w:rFonts w:ascii="Times New Roman" w:hAnsi="Times New Roman" w:cs="Times New Roman"/>
          <w:i/>
          <w:iCs/>
        </w:rPr>
        <w:t>q</w:t>
      </w:r>
      <w:r w:rsidRPr="00FC2FCE">
        <w:rPr>
          <w:rFonts w:ascii="Times New Roman" w:hAnsi="Times New Roman" w:cs="Times New Roman"/>
          <w:vertAlign w:val="subscript"/>
        </w:rPr>
        <w:t>o</w:t>
      </w:r>
      <w:r w:rsidRPr="00FC2FCE">
        <w:rPr>
          <w:rFonts w:ascii="Times New Roman" w:hAnsi="Times New Roman" w:cs="Times New Roman"/>
        </w:rPr>
        <w:t xml:space="preserve"> — количество различных товаров базисного периода. Б</w:t>
      </w:r>
      <w:r w:rsidR="003A3439">
        <w:rPr>
          <w:rFonts w:ascii="Times New Roman" w:hAnsi="Times New Roman" w:cs="Times New Roman"/>
        </w:rPr>
        <w:t>юджетный</w:t>
      </w:r>
      <w:r w:rsidRPr="00FC2FCE">
        <w:rPr>
          <w:rFonts w:ascii="Times New Roman" w:hAnsi="Times New Roman" w:cs="Times New Roman"/>
        </w:rPr>
        <w:t xml:space="preserve"> и</w:t>
      </w:r>
      <w:r w:rsidR="003A3439">
        <w:rPr>
          <w:rFonts w:ascii="Times New Roman" w:hAnsi="Times New Roman" w:cs="Times New Roman"/>
        </w:rPr>
        <w:t>ндекс</w:t>
      </w:r>
      <w:r w:rsidRPr="00FC2FCE">
        <w:rPr>
          <w:rFonts w:ascii="Times New Roman" w:hAnsi="Times New Roman" w:cs="Times New Roman"/>
        </w:rPr>
        <w:t xml:space="preserve"> (введённый впервые в Великобритании в 1918, в США в 1919) определяет затраты семьи на покупку </w:t>
      </w:r>
      <w:r w:rsidRPr="00862063">
        <w:rPr>
          <w:rFonts w:ascii="Times New Roman" w:hAnsi="Times New Roman" w:cs="Times New Roman"/>
          <w:i/>
          <w:iCs/>
          <w:u w:val="single"/>
        </w:rPr>
        <w:t>бюджетного набора</w:t>
      </w:r>
      <w:r w:rsidRPr="00FC2FCE">
        <w:rPr>
          <w:rFonts w:ascii="Times New Roman" w:hAnsi="Times New Roman" w:cs="Times New Roman"/>
        </w:rPr>
        <w:t xml:space="preserve"> в текущем периоде сравнительно с затратами на тот же набор в прошлом (базисном) периоде. Тем самым рассчитывается потребность денег для поддержания того же уровня жизни (понимаемого как объём потребления). Товары, входящие в набор, здесь сравнительно немногочисленны по составу, в отличие от индекса цен с его многочисленным и изменяющимся товарным набором. Б</w:t>
      </w:r>
      <w:r w:rsidR="003A3439">
        <w:rPr>
          <w:rFonts w:ascii="Times New Roman" w:hAnsi="Times New Roman" w:cs="Times New Roman"/>
        </w:rPr>
        <w:t>юджетный</w:t>
      </w:r>
      <w:r w:rsidRPr="00FC2FCE">
        <w:rPr>
          <w:rFonts w:ascii="Times New Roman" w:hAnsi="Times New Roman" w:cs="Times New Roman"/>
        </w:rPr>
        <w:t xml:space="preserve"> и</w:t>
      </w:r>
      <w:r w:rsidR="003A3439">
        <w:rPr>
          <w:rFonts w:ascii="Times New Roman" w:hAnsi="Times New Roman" w:cs="Times New Roman"/>
        </w:rPr>
        <w:t>ндекс</w:t>
      </w:r>
      <w:r w:rsidRPr="00FC2FCE">
        <w:rPr>
          <w:rFonts w:ascii="Times New Roman" w:hAnsi="Times New Roman" w:cs="Times New Roman"/>
        </w:rPr>
        <w:t xml:space="preserve"> следует строить как групповой, с последующим выведением тотального (общего) индекса.</w:t>
      </w:r>
    </w:p>
    <w:p w:rsidR="00DB3866" w:rsidRPr="00FC2FCE" w:rsidRDefault="00DB3866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  </w:t>
      </w:r>
      <w:r w:rsidR="006D4903" w:rsidRPr="00FC2FCE">
        <w:rPr>
          <w:rFonts w:ascii="Times New Roman" w:hAnsi="Times New Roman" w:cs="Times New Roman"/>
        </w:rPr>
        <w:tab/>
      </w:r>
      <w:r w:rsidRPr="00FC2FCE">
        <w:rPr>
          <w:rFonts w:ascii="Times New Roman" w:hAnsi="Times New Roman" w:cs="Times New Roman"/>
        </w:rPr>
        <w:t>В СССР исчисление Б</w:t>
      </w:r>
      <w:r w:rsidR="00426C03">
        <w:rPr>
          <w:rFonts w:ascii="Times New Roman" w:hAnsi="Times New Roman" w:cs="Times New Roman"/>
        </w:rPr>
        <w:t>юджетного</w:t>
      </w:r>
      <w:r w:rsidRPr="00FC2FCE">
        <w:rPr>
          <w:rFonts w:ascii="Times New Roman" w:hAnsi="Times New Roman" w:cs="Times New Roman"/>
        </w:rPr>
        <w:t xml:space="preserve"> и</w:t>
      </w:r>
      <w:r w:rsidR="00426C03">
        <w:rPr>
          <w:rFonts w:ascii="Times New Roman" w:hAnsi="Times New Roman" w:cs="Times New Roman"/>
        </w:rPr>
        <w:t>ндекса</w:t>
      </w:r>
      <w:r w:rsidRPr="00FC2FCE">
        <w:rPr>
          <w:rFonts w:ascii="Times New Roman" w:hAnsi="Times New Roman" w:cs="Times New Roman"/>
        </w:rPr>
        <w:t xml:space="preserve"> начато в 1922. Построение Б</w:t>
      </w:r>
      <w:r w:rsidR="003A3439">
        <w:rPr>
          <w:rFonts w:ascii="Times New Roman" w:hAnsi="Times New Roman" w:cs="Times New Roman"/>
        </w:rPr>
        <w:t>юджетного</w:t>
      </w:r>
      <w:r w:rsidRPr="00FC2FCE">
        <w:rPr>
          <w:rFonts w:ascii="Times New Roman" w:hAnsi="Times New Roman" w:cs="Times New Roman"/>
        </w:rPr>
        <w:t xml:space="preserve"> и</w:t>
      </w:r>
      <w:r w:rsidR="003A3439">
        <w:rPr>
          <w:rFonts w:ascii="Times New Roman" w:hAnsi="Times New Roman" w:cs="Times New Roman"/>
        </w:rPr>
        <w:t>ндекса</w:t>
      </w:r>
      <w:r w:rsidRPr="00FC2FCE">
        <w:rPr>
          <w:rFonts w:ascii="Times New Roman" w:hAnsi="Times New Roman" w:cs="Times New Roman"/>
        </w:rPr>
        <w:t xml:space="preserve"> для отдельных экономич</w:t>
      </w:r>
      <w:r w:rsidR="003A3439">
        <w:rPr>
          <w:rFonts w:ascii="Times New Roman" w:hAnsi="Times New Roman" w:cs="Times New Roman"/>
        </w:rPr>
        <w:t xml:space="preserve">еских групп населения (так как </w:t>
      </w:r>
      <w:r w:rsidRPr="00FC2FCE">
        <w:rPr>
          <w:rFonts w:ascii="Times New Roman" w:hAnsi="Times New Roman" w:cs="Times New Roman"/>
        </w:rPr>
        <w:t>покупательная способность у них разная) и для отдельных товарных групп и нетоварных государственных услуг (блага из общественных фондов, а также предоставление государством жилищ и дотаций по квартирной плате) даёт наиболее достоверную картину уровня потребления. Поскольку, как правило, блага из общественных фондов (дотации для детских учреждений, для отдыха, лечения и пр.) получают главным образом семьи низкооплачиваемых, то это в известной мере сокращает различия в уровне жизни высокооплачиваемых и низкооплачиваемых. Вместе с тем, когда государство берёт на себя часть семейных расходов (например, при обучении ребёнка в интернате), покупательные возможности семьи повышаются. Цены, участвующие в бюджетном наборе, берутся из бюджетных записей (потребительские бюджеты) о фактически уплаченных за товары суммах, а средние цены покупки исчисляются на их базе. Они отличаются от прейскурантных, так как одни и те же товары покупаются в разных местах (государственная торговля, кооперация, колхозный рынок). На основе групповых индексов можно построить различные комбинации обобщающих индексов, в том числе конъюнктурный индекс. Советская статистика применяет для исчисления реальных доходов трудящихся индекс доходов населения, оценивающий в сопоставимых ценах денежные и натуральные доходы и льготы, предоставляемые государством.</w:t>
      </w:r>
    </w:p>
    <w:p w:rsidR="00DB3866" w:rsidRPr="00FC2FCE" w:rsidRDefault="00DB3866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  </w:t>
      </w:r>
      <w:r w:rsidR="006D4903" w:rsidRPr="00FC2FCE">
        <w:rPr>
          <w:rFonts w:ascii="Times New Roman" w:hAnsi="Times New Roman" w:cs="Times New Roman"/>
        </w:rPr>
        <w:tab/>
      </w:r>
      <w:r w:rsidRPr="00FC2FCE">
        <w:rPr>
          <w:rFonts w:ascii="Times New Roman" w:hAnsi="Times New Roman" w:cs="Times New Roman"/>
        </w:rPr>
        <w:t>В странах</w:t>
      </w:r>
      <w:r w:rsidR="003A3439">
        <w:rPr>
          <w:rFonts w:ascii="Times New Roman" w:hAnsi="Times New Roman" w:cs="Times New Roman"/>
        </w:rPr>
        <w:t xml:space="preserve"> с развитой экономикой</w:t>
      </w:r>
      <w:r w:rsidRPr="00FC2FCE">
        <w:rPr>
          <w:rFonts w:ascii="Times New Roman" w:hAnsi="Times New Roman" w:cs="Times New Roman"/>
        </w:rPr>
        <w:t xml:space="preserve"> Б</w:t>
      </w:r>
      <w:r w:rsidR="003A3439">
        <w:rPr>
          <w:rFonts w:ascii="Times New Roman" w:hAnsi="Times New Roman" w:cs="Times New Roman"/>
        </w:rPr>
        <w:t>юджетный</w:t>
      </w:r>
      <w:r w:rsidRPr="00FC2FCE">
        <w:rPr>
          <w:rFonts w:ascii="Times New Roman" w:hAnsi="Times New Roman" w:cs="Times New Roman"/>
        </w:rPr>
        <w:t xml:space="preserve"> и</w:t>
      </w:r>
      <w:r w:rsidR="003A3439">
        <w:rPr>
          <w:rFonts w:ascii="Times New Roman" w:hAnsi="Times New Roman" w:cs="Times New Roman"/>
        </w:rPr>
        <w:t>ндекс</w:t>
      </w:r>
      <w:r w:rsidRPr="00FC2FCE">
        <w:rPr>
          <w:rFonts w:ascii="Times New Roman" w:hAnsi="Times New Roman" w:cs="Times New Roman"/>
        </w:rPr>
        <w:t xml:space="preserve">, рассчитанные официальной статистикой, и </w:t>
      </w:r>
      <w:r w:rsidR="003A3439" w:rsidRPr="00FC2FCE">
        <w:rPr>
          <w:rFonts w:ascii="Times New Roman" w:hAnsi="Times New Roman" w:cs="Times New Roman"/>
        </w:rPr>
        <w:t>Б</w:t>
      </w:r>
      <w:r w:rsidR="003A3439">
        <w:rPr>
          <w:rFonts w:ascii="Times New Roman" w:hAnsi="Times New Roman" w:cs="Times New Roman"/>
        </w:rPr>
        <w:t>юджетный</w:t>
      </w:r>
      <w:r w:rsidR="003A3439" w:rsidRPr="00FC2FCE">
        <w:rPr>
          <w:rFonts w:ascii="Times New Roman" w:hAnsi="Times New Roman" w:cs="Times New Roman"/>
        </w:rPr>
        <w:t xml:space="preserve"> и</w:t>
      </w:r>
      <w:r w:rsidR="003A3439">
        <w:rPr>
          <w:rFonts w:ascii="Times New Roman" w:hAnsi="Times New Roman" w:cs="Times New Roman"/>
        </w:rPr>
        <w:t>ндекс</w:t>
      </w:r>
      <w:r w:rsidRPr="00FC2FCE">
        <w:rPr>
          <w:rFonts w:ascii="Times New Roman" w:hAnsi="Times New Roman" w:cs="Times New Roman"/>
        </w:rPr>
        <w:t xml:space="preserve">, получаемые рабочими организациями, резко отличаются друг от друга. </w:t>
      </w:r>
      <w:r w:rsidR="00E75E14">
        <w:rPr>
          <w:rFonts w:ascii="Times New Roman" w:hAnsi="Times New Roman" w:cs="Times New Roman"/>
        </w:rPr>
        <w:t>О</w:t>
      </w:r>
      <w:r w:rsidRPr="00FC2FCE">
        <w:rPr>
          <w:rFonts w:ascii="Times New Roman" w:hAnsi="Times New Roman" w:cs="Times New Roman"/>
        </w:rPr>
        <w:t xml:space="preserve">фициальная статистика не даёт подлинной картины, так как нередко из бюджетных обследований исключаются низкооплачиваемые семьи, в потреблении которых более высок удельный вес товаров широкого потребления (рост </w:t>
      </w:r>
      <w:r w:rsidR="00E75E14" w:rsidRPr="00FC2FCE">
        <w:rPr>
          <w:rFonts w:ascii="Times New Roman" w:hAnsi="Times New Roman" w:cs="Times New Roman"/>
        </w:rPr>
        <w:t>цен,</w:t>
      </w:r>
      <w:r w:rsidRPr="00FC2FCE">
        <w:rPr>
          <w:rFonts w:ascii="Times New Roman" w:hAnsi="Times New Roman" w:cs="Times New Roman"/>
        </w:rPr>
        <w:t xml:space="preserve"> на которые наиболее значителен), а также за счёт нарушения репрезентативности бюджетного набора, регистрации его лишь в крупных городах.</w:t>
      </w:r>
    </w:p>
    <w:p w:rsidR="00731971" w:rsidRPr="00FC2FCE" w:rsidRDefault="00E75E14" w:rsidP="002A4956">
      <w:pPr>
        <w:spacing w:before="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A4956" w:rsidRPr="00FC2FCE">
        <w:rPr>
          <w:rFonts w:ascii="Times New Roman" w:hAnsi="Times New Roman" w:cs="Times New Roman"/>
          <w:b/>
          <w:bCs/>
          <w:sz w:val="28"/>
          <w:szCs w:val="28"/>
        </w:rPr>
        <w:t>ПОНЯТИЕ БЕТА-КОЭФФИЦИЕНТА</w:t>
      </w:r>
    </w:p>
    <w:p w:rsidR="00731971" w:rsidRPr="00FC2FCE" w:rsidRDefault="002A4956" w:rsidP="00FC2FCE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БЕТА-КОЭФФИЦИЕНТ — показатель, характеризующий влияние общей ситуации на рынке ценных бумаг в целом на динамику цены отдельной ценной бумаги</w:t>
      </w:r>
      <w:r w:rsidR="00FC2FCE" w:rsidRPr="00FC2FCE">
        <w:rPr>
          <w:rFonts w:ascii="Times New Roman" w:hAnsi="Times New Roman" w:cs="Times New Roman"/>
        </w:rPr>
        <w:t xml:space="preserve">, показатель степени риска применительно к </w:t>
      </w:r>
      <w:r w:rsidR="00FC2FCE" w:rsidRPr="00862063">
        <w:rPr>
          <w:rFonts w:ascii="Times New Roman" w:hAnsi="Times New Roman" w:cs="Times New Roman"/>
        </w:rPr>
        <w:t>инвестиционному портфелю</w:t>
      </w:r>
      <w:r w:rsidR="00FC2FCE" w:rsidRPr="00FC2FCE">
        <w:rPr>
          <w:rFonts w:ascii="Times New Roman" w:hAnsi="Times New Roman" w:cs="Times New Roman"/>
        </w:rPr>
        <w:t xml:space="preserve"> или к конкретным ценным бумагам. Отражает степень устойчивости </w:t>
      </w:r>
      <w:r w:rsidR="00FC2FCE" w:rsidRPr="00862063">
        <w:rPr>
          <w:rFonts w:ascii="Times New Roman" w:hAnsi="Times New Roman" w:cs="Times New Roman"/>
        </w:rPr>
        <w:t>курса данных акций</w:t>
      </w:r>
      <w:r w:rsidR="00FC2FCE" w:rsidRPr="00FC2FCE">
        <w:rPr>
          <w:rFonts w:ascii="Times New Roman" w:hAnsi="Times New Roman" w:cs="Times New Roman"/>
        </w:rPr>
        <w:t xml:space="preserve"> по сравнению с остальным </w:t>
      </w:r>
      <w:r w:rsidR="00FC2FCE" w:rsidRPr="00862063">
        <w:rPr>
          <w:rFonts w:ascii="Times New Roman" w:hAnsi="Times New Roman" w:cs="Times New Roman"/>
        </w:rPr>
        <w:t>фондовым рынком</w:t>
      </w:r>
      <w:r w:rsidR="00FC2FCE" w:rsidRPr="00FC2FCE">
        <w:rPr>
          <w:rFonts w:ascii="Times New Roman" w:hAnsi="Times New Roman" w:cs="Times New Roman"/>
        </w:rPr>
        <w:t xml:space="preserve">; устанавливает количественное соотношение между колебаниями цены данной </w:t>
      </w:r>
      <w:r w:rsidR="00FC2FCE" w:rsidRPr="00862063">
        <w:rPr>
          <w:rFonts w:ascii="Times New Roman" w:hAnsi="Times New Roman" w:cs="Times New Roman"/>
        </w:rPr>
        <w:t>акции</w:t>
      </w:r>
      <w:r w:rsidR="00FC2FCE" w:rsidRPr="00FC2FCE">
        <w:rPr>
          <w:rFonts w:ascii="Times New Roman" w:hAnsi="Times New Roman" w:cs="Times New Roman"/>
        </w:rPr>
        <w:t xml:space="preserve"> и динамикой цен рынка в целом. Если этот коэффициент выше 1, значит, акция неустойчива; при бета-коэффициенте ниже 1 - более устойчива; именно поэтому консервативные </w:t>
      </w:r>
      <w:r w:rsidR="00FC2FCE" w:rsidRPr="00862063">
        <w:rPr>
          <w:rFonts w:ascii="Times New Roman" w:hAnsi="Times New Roman" w:cs="Times New Roman"/>
        </w:rPr>
        <w:t>инвесторы</w:t>
      </w:r>
      <w:r w:rsidR="00FC2FCE" w:rsidRPr="00FC2FCE">
        <w:rPr>
          <w:rFonts w:ascii="Times New Roman" w:hAnsi="Times New Roman" w:cs="Times New Roman"/>
        </w:rPr>
        <w:t xml:space="preserve"> в первую очередь интересуются этим коэффициентом и предпочитают акции с низким его уровнем.</w:t>
      </w:r>
      <w:r w:rsidR="00FC2FCE" w:rsidRPr="00FC2FCE">
        <w:rPr>
          <w:rFonts w:ascii="Times New Roman" w:hAnsi="Times New Roman" w:cs="Times New Roman"/>
        </w:rPr>
        <w:br/>
      </w:r>
      <w:r w:rsidR="00E75E14">
        <w:rPr>
          <w:rFonts w:ascii="Times New Roman" w:hAnsi="Times New Roman" w:cs="Times New Roman"/>
        </w:rPr>
        <w:t xml:space="preserve"> </w:t>
      </w:r>
      <w:r w:rsidR="00E75E14">
        <w:rPr>
          <w:rFonts w:ascii="Times New Roman" w:hAnsi="Times New Roman" w:cs="Times New Roman"/>
        </w:rPr>
        <w:tab/>
      </w:r>
      <w:r w:rsidR="00731971" w:rsidRPr="00FC2FCE">
        <w:rPr>
          <w:rFonts w:ascii="Times New Roman" w:hAnsi="Times New Roman" w:cs="Times New Roman"/>
        </w:rPr>
        <w:t xml:space="preserve">Применение бета-метода базируется на классификации связанных с проектом рисков. А именно, все они подразделяются на </w:t>
      </w:r>
      <w:r w:rsidR="00731971" w:rsidRPr="00FC2FCE">
        <w:rPr>
          <w:rFonts w:ascii="Times New Roman" w:hAnsi="Times New Roman" w:cs="Times New Roman"/>
          <w:i/>
          <w:iCs/>
        </w:rPr>
        <w:t xml:space="preserve">риск непредвиденного прекращения проекта </w:t>
      </w:r>
      <w:r w:rsidR="00731971" w:rsidRPr="00FC2FCE">
        <w:rPr>
          <w:rFonts w:ascii="Times New Roman" w:hAnsi="Times New Roman" w:cs="Times New Roman"/>
        </w:rPr>
        <w:t xml:space="preserve">(например, из-за банкротства, неплатежеспособности, бесперспективности геологического объекта) и </w:t>
      </w:r>
      <w:r w:rsidR="00731971" w:rsidRPr="00FC2FCE">
        <w:rPr>
          <w:rFonts w:ascii="Times New Roman" w:hAnsi="Times New Roman" w:cs="Times New Roman"/>
          <w:i/>
          <w:iCs/>
        </w:rPr>
        <w:t>вариационный риск</w:t>
      </w:r>
      <w:r w:rsidR="00731971" w:rsidRPr="00FC2FCE">
        <w:rPr>
          <w:rFonts w:ascii="Times New Roman" w:hAnsi="Times New Roman" w:cs="Times New Roman"/>
        </w:rPr>
        <w:t>, обусловливающий изменчивость доходности проекта на протяжении периода его реализации. Последний, в свою очередь, подразделяется на систематический и несистематический.</w:t>
      </w:r>
    </w:p>
    <w:p w:rsidR="00731971" w:rsidRPr="00FC2FCE" w:rsidRDefault="00731971" w:rsidP="007E6012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Систематический риск связан с общерыночными колебаниями цен на ресурсы и доходности финансовых инструментов, несистематический — отражает изменчивость доходности данного проекта (или ценной бумаги, выпущенной для финансирования проекта). В классическом бета-методе учитывается только вариационный систематический риск. Норма дисконта </w:t>
      </w:r>
      <w:r w:rsidRPr="00FC2FCE">
        <w:rPr>
          <w:rFonts w:ascii="Times New Roman" w:hAnsi="Times New Roman" w:cs="Times New Roman"/>
          <w:i/>
          <w:iCs/>
        </w:rPr>
        <w:t>Е</w:t>
      </w:r>
      <w:r w:rsidRPr="00FC2FCE">
        <w:rPr>
          <w:rFonts w:ascii="Times New Roman" w:hAnsi="Times New Roman" w:cs="Times New Roman"/>
        </w:rPr>
        <w:t>, учитывающая этот риск, рассчитывается по модели оценки капитальных активов:</w:t>
      </w:r>
    </w:p>
    <w:p w:rsidR="00731971" w:rsidRPr="00FC2FCE" w:rsidRDefault="00BD5ACC" w:rsidP="006D4903">
      <w:pPr>
        <w:pStyle w:val="a4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pict>
          <v:shape id="_x0000_i1026" type="#_x0000_t75" style="width:97.5pt;height:17.25pt">
            <v:imagedata r:id="rId8" o:title=""/>
          </v:shape>
        </w:pict>
      </w:r>
      <w:r w:rsidR="00731971" w:rsidRPr="00FC2FCE">
        <w:rPr>
          <w:rFonts w:ascii="Times New Roman" w:hAnsi="Times New Roman" w:cs="Times New Roman"/>
          <w:i/>
          <w:iCs/>
        </w:rPr>
        <w:t>, (1)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где </w:t>
      </w:r>
    </w:p>
    <w:p w:rsidR="00731971" w:rsidRPr="00FC2FCE" w:rsidRDefault="00BD5ACC" w:rsidP="006D4903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type="#_x0000_t75" style="width:15pt;height:17.25pt">
            <v:imagedata r:id="rId9" o:title=""/>
          </v:shape>
        </w:pict>
      </w:r>
      <w:r w:rsidR="00731971" w:rsidRPr="00FC2FCE">
        <w:rPr>
          <w:rFonts w:ascii="Times New Roman" w:hAnsi="Times New Roman" w:cs="Times New Roman"/>
        </w:rPr>
        <w:t>— доходность безрисковых инвестиций;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  <w:i/>
          <w:iCs/>
        </w:rPr>
        <w:t>R</w:t>
      </w:r>
      <w:r w:rsidRPr="00FC2FCE">
        <w:rPr>
          <w:rFonts w:ascii="Times New Roman" w:hAnsi="Times New Roman" w:cs="Times New Roman"/>
        </w:rPr>
        <w:t xml:space="preserve"> — среднерыночная доходность (доходность инвестиций в “среднерыночный” пакет акций, имеющий ту же структуру, что и вся совокупность обращающихся на рынке акций);</w:t>
      </w:r>
    </w:p>
    <w:p w:rsidR="00731971" w:rsidRPr="00FC2FCE" w:rsidRDefault="00BD5ACC" w:rsidP="006D4903">
      <w:pPr>
        <w:pStyle w:val="a4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pict>
          <v:shape id="_x0000_i1028" type="#_x0000_t75" style="width:10.5pt;height:15pt">
            <v:imagedata r:id="rId10" o:title=""/>
          </v:shape>
        </w:pict>
      </w:r>
      <w:r w:rsidR="00731971" w:rsidRPr="00FC2FCE">
        <w:rPr>
          <w:rFonts w:ascii="Times New Roman" w:hAnsi="Times New Roman" w:cs="Times New Roman"/>
        </w:rPr>
        <w:t xml:space="preserve">— коэффициент, отражающий относительную рискованность данного проекта по сравнению с инвестированием в среднерыночный пакет акций. Обычно </w:t>
      </w:r>
      <w:r w:rsidR="00731971" w:rsidRPr="00FC2FCE">
        <w:rPr>
          <w:rFonts w:ascii="Times New Roman" w:hAnsi="Times New Roman" w:cs="Times New Roman"/>
          <w:i/>
          <w:iCs/>
        </w:rPr>
        <w:t>0 </w:t>
      </w:r>
      <w:r w:rsidR="00731971" w:rsidRPr="00FC2FCE">
        <w:rPr>
          <w:rFonts w:ascii="Times New Roman" w:hAnsi="Times New Roman" w:cs="Times New Roman"/>
          <w:u w:val="single"/>
        </w:rPr>
        <w:t>&lt;</w:t>
      </w:r>
      <w:r w:rsidR="00731971" w:rsidRPr="00FC2FC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pict>
          <v:shape id="_x0000_i1029" type="#_x0000_t75" style="width:10.5pt;height:15pt">
            <v:imagedata r:id="rId10" o:title=""/>
          </v:shape>
        </w:pict>
      </w:r>
      <w:r w:rsidR="00731971" w:rsidRPr="00FC2FCE">
        <w:rPr>
          <w:rFonts w:ascii="Times New Roman" w:hAnsi="Times New Roman" w:cs="Times New Roman"/>
        </w:rPr>
        <w:t> </w:t>
      </w:r>
      <w:r w:rsidR="00731971" w:rsidRPr="00FC2FCE">
        <w:rPr>
          <w:rFonts w:ascii="Times New Roman" w:hAnsi="Times New Roman" w:cs="Times New Roman"/>
          <w:u w:val="single"/>
        </w:rPr>
        <w:t>&lt;</w:t>
      </w:r>
      <w:r w:rsidR="00731971" w:rsidRPr="00FC2FCE">
        <w:rPr>
          <w:rFonts w:ascii="Times New Roman" w:hAnsi="Times New Roman" w:cs="Times New Roman"/>
        </w:rPr>
        <w:t> </w:t>
      </w:r>
      <w:r w:rsidR="00731971" w:rsidRPr="00FC2FCE">
        <w:rPr>
          <w:rFonts w:ascii="Times New Roman" w:hAnsi="Times New Roman" w:cs="Times New Roman"/>
          <w:i/>
          <w:iCs/>
        </w:rPr>
        <w:t>2.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При использовании этого метода необходимо иметь в виду следующие обстоятельства.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1. Под доходностью ценной бумаги здесь понимается отношение ожидаемого годового дохода по этой бумаге к ее рыночной стоимости. 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2. Поскольку инфляционное изменение цен учитывается в расчетах эффективности путем дефлирования всех цен, то используемые в данном методе показатели доходности должны быть реальными (дефлированными), а не номинальными.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3. Среднерыночная доходность, хотя и используется в приведенной формуле, должна рассматриваться как известная абстракция — полная информация о доходности всех обращающихся на рынке акций обычно отсутствует. Поэтому на практике этот показатель рассчитывают по ограниченному числу представительных ценных бумаг, например, по акциям “голубых фишек”.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4. Установить коэффициент b для конкретного проекта, точно следуя данному выше определению, ни теоретически, ни практически невозможно — он зависит от непредсказуемого поведения участников финансового рынка в течение всего периода реализации проекта и от неизвестной реакции (реальных или потенциальных) акционеров на дивидендную политику фирмы, даже если последняя определена в проектных материалах. Поэтому обычно бета-коэффициенты устанавливаются “по аналогии”.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Оценка </w:t>
      </w:r>
      <w:r w:rsidR="00BD5ACC">
        <w:rPr>
          <w:rFonts w:ascii="Times New Roman" w:hAnsi="Times New Roman" w:cs="Times New Roman"/>
        </w:rPr>
        <w:pict>
          <v:shape id="_x0000_i1030" type="#_x0000_t75" style="width:9pt;height:10.5pt">
            <v:imagedata r:id="rId11" o:title=""/>
          </v:shape>
        </w:pict>
      </w:r>
      <w:r w:rsidRPr="00FC2FCE">
        <w:rPr>
          <w:rFonts w:ascii="Times New Roman" w:hAnsi="Times New Roman" w:cs="Times New Roman"/>
        </w:rPr>
        <w:t>для действующего предприятия, производящего аналогичную продукцию, производится в два этапа.</w:t>
      </w:r>
    </w:p>
    <w:p w:rsidR="00731971" w:rsidRPr="00FC2FCE" w:rsidRDefault="00731971" w:rsidP="007E6012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На первом этапе выбирается анализируемый период и собираются имеющиеся данные о доходности акций предприятия-аналога и о среднерыночной доходности на отдельные даты в этом периоде. Для </w:t>
      </w:r>
      <w:r w:rsidRPr="00FC2FCE">
        <w:rPr>
          <w:rFonts w:ascii="Times New Roman" w:hAnsi="Times New Roman" w:cs="Times New Roman"/>
          <w:i/>
          <w:iCs/>
        </w:rPr>
        <w:t>m</w:t>
      </w:r>
      <w:r w:rsidRPr="00FC2FCE">
        <w:rPr>
          <w:rFonts w:ascii="Times New Roman" w:hAnsi="Times New Roman" w:cs="Times New Roman"/>
        </w:rPr>
        <w:t xml:space="preserve">-го наблюдения эти показатели обозначим через </w:t>
      </w:r>
      <w:r w:rsidRPr="00FC2FCE">
        <w:rPr>
          <w:rFonts w:ascii="Times New Roman" w:hAnsi="Times New Roman" w:cs="Times New Roman"/>
          <w:i/>
          <w:iCs/>
        </w:rPr>
        <w:t>d</w:t>
      </w:r>
      <w:r w:rsidRPr="00FC2FCE">
        <w:rPr>
          <w:rFonts w:ascii="Times New Roman" w:hAnsi="Times New Roman" w:cs="Times New Roman"/>
          <w:i/>
          <w:iCs/>
          <w:vertAlign w:val="subscript"/>
        </w:rPr>
        <w:t>m</w:t>
      </w:r>
      <w:r w:rsidRPr="00FC2FCE">
        <w:rPr>
          <w:rFonts w:ascii="Times New Roman" w:hAnsi="Times New Roman" w:cs="Times New Roman"/>
        </w:rPr>
        <w:t xml:space="preserve"> и </w:t>
      </w:r>
      <w:r w:rsidRPr="00FC2FCE">
        <w:rPr>
          <w:rFonts w:ascii="Times New Roman" w:hAnsi="Times New Roman" w:cs="Times New Roman"/>
          <w:i/>
          <w:iCs/>
        </w:rPr>
        <w:t>R</w:t>
      </w:r>
      <w:r w:rsidRPr="00FC2FCE">
        <w:rPr>
          <w:rFonts w:ascii="Times New Roman" w:hAnsi="Times New Roman" w:cs="Times New Roman"/>
          <w:i/>
          <w:iCs/>
          <w:vertAlign w:val="subscript"/>
        </w:rPr>
        <w:t>m</w:t>
      </w:r>
      <w:r w:rsidRPr="00FC2FCE">
        <w:rPr>
          <w:rFonts w:ascii="Times New Roman" w:hAnsi="Times New Roman" w:cs="Times New Roman"/>
        </w:rPr>
        <w:t xml:space="preserve">. При увеличении объема такой информации расчеты становятся более точными, однако если при этом анализируемый период “расширяется в прошлое”, то получаемые значения </w:t>
      </w:r>
      <w:r w:rsidR="00BD5ACC">
        <w:rPr>
          <w:rFonts w:ascii="Times New Roman" w:hAnsi="Times New Roman" w:cs="Times New Roman"/>
        </w:rPr>
        <w:pict>
          <v:shape id="_x0000_i1031" type="#_x0000_t75" style="width:9pt;height:10.5pt">
            <v:imagedata r:id="rId11" o:title=""/>
          </v:shape>
        </w:pict>
      </w:r>
      <w:r w:rsidRPr="00FC2FCE">
        <w:rPr>
          <w:rFonts w:ascii="Times New Roman" w:hAnsi="Times New Roman" w:cs="Times New Roman"/>
        </w:rPr>
        <w:t>с меньшей долей уверенности можно будет распространить на перспективу.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На втором этапе по величинам </w:t>
      </w:r>
      <w:r w:rsidRPr="00FC2FCE">
        <w:rPr>
          <w:rFonts w:ascii="Times New Roman" w:hAnsi="Times New Roman" w:cs="Times New Roman"/>
          <w:i/>
          <w:iCs/>
        </w:rPr>
        <w:t>d</w:t>
      </w:r>
      <w:r w:rsidRPr="00FC2FCE">
        <w:rPr>
          <w:rFonts w:ascii="Times New Roman" w:hAnsi="Times New Roman" w:cs="Times New Roman"/>
          <w:i/>
          <w:iCs/>
          <w:vertAlign w:val="subscript"/>
        </w:rPr>
        <w:t>m</w:t>
      </w:r>
      <w:r w:rsidRPr="00FC2FCE">
        <w:rPr>
          <w:rFonts w:ascii="Times New Roman" w:hAnsi="Times New Roman" w:cs="Times New Roman"/>
        </w:rPr>
        <w:t xml:space="preserve"> и </w:t>
      </w:r>
      <w:r w:rsidRPr="00FC2FCE">
        <w:rPr>
          <w:rFonts w:ascii="Times New Roman" w:hAnsi="Times New Roman" w:cs="Times New Roman"/>
          <w:i/>
          <w:iCs/>
        </w:rPr>
        <w:t>R</w:t>
      </w:r>
      <w:r w:rsidRPr="00FC2FCE">
        <w:rPr>
          <w:rFonts w:ascii="Times New Roman" w:hAnsi="Times New Roman" w:cs="Times New Roman"/>
          <w:i/>
          <w:iCs/>
          <w:vertAlign w:val="subscript"/>
        </w:rPr>
        <w:t>m</w:t>
      </w:r>
      <w:r w:rsidRPr="00FC2FCE">
        <w:rPr>
          <w:rFonts w:ascii="Times New Roman" w:hAnsi="Times New Roman" w:cs="Times New Roman"/>
        </w:rPr>
        <w:t xml:space="preserve"> вначале рассчитываются соответствующие средние (</w:t>
      </w:r>
      <w:r w:rsidRPr="00FC2FCE">
        <w:rPr>
          <w:rFonts w:ascii="Times New Roman" w:hAnsi="Times New Roman" w:cs="Times New Roman"/>
          <w:i/>
          <w:iCs/>
        </w:rPr>
        <w:t>dср</w:t>
      </w:r>
      <w:r w:rsidRPr="00FC2FCE">
        <w:rPr>
          <w:rFonts w:ascii="Times New Roman" w:hAnsi="Times New Roman" w:cs="Times New Roman"/>
        </w:rPr>
        <w:t xml:space="preserve"> и </w:t>
      </w:r>
      <w:r w:rsidRPr="00FC2FCE">
        <w:rPr>
          <w:rFonts w:ascii="Times New Roman" w:hAnsi="Times New Roman" w:cs="Times New Roman"/>
          <w:i/>
          <w:iCs/>
        </w:rPr>
        <w:t>Rср</w:t>
      </w:r>
      <w:r w:rsidRPr="00FC2FCE">
        <w:rPr>
          <w:rFonts w:ascii="Times New Roman" w:hAnsi="Times New Roman" w:cs="Times New Roman"/>
        </w:rPr>
        <w:t xml:space="preserve">), а затем вычисляется </w:t>
      </w:r>
      <w:r w:rsidR="00BD5ACC">
        <w:rPr>
          <w:rFonts w:ascii="Times New Roman" w:hAnsi="Times New Roman" w:cs="Times New Roman"/>
        </w:rPr>
        <w:pict>
          <v:shape id="_x0000_i1032" type="#_x0000_t75" style="width:9pt;height:10.5pt">
            <v:imagedata r:id="rId11" o:title=""/>
          </v:shape>
        </w:pict>
      </w:r>
      <w:r w:rsidRPr="00FC2FCE">
        <w:rPr>
          <w:rFonts w:ascii="Times New Roman" w:hAnsi="Times New Roman" w:cs="Times New Roman"/>
        </w:rPr>
        <w:t>:</w:t>
      </w:r>
    </w:p>
    <w:p w:rsidR="00731971" w:rsidRPr="00FC2FCE" w:rsidRDefault="00BD5ACC" w:rsidP="006D4903">
      <w:pPr>
        <w:pStyle w:val="a4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pict>
          <v:shape id="_x0000_i1033" type="#_x0000_t75" style="width:138pt;height:54pt">
            <v:imagedata r:id="rId12" o:title=""/>
          </v:shape>
        </w:pict>
      </w:r>
      <w:r w:rsidR="00731971" w:rsidRPr="00FC2FCE">
        <w:rPr>
          <w:rFonts w:ascii="Times New Roman" w:hAnsi="Times New Roman" w:cs="Times New Roman"/>
          <w:i/>
          <w:iCs/>
        </w:rPr>
        <w:t>. (2)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Подобные коэффициенты (исторические бета-коэффициенты) для различных предприятий и групп предприятий рассчитываются многими специалистами и агентствами и часто публикуются в прессе.</w:t>
      </w:r>
    </w:p>
    <w:p w:rsidR="00731971" w:rsidRPr="00FC2FCE" w:rsidRDefault="00731971" w:rsidP="007E6012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Необходимо отметить ряд важных особенностей бета-метода, которые необходимо учитывать при попытках его применения.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1. Этот метод исходит из принципиально иной трактовки понятия риска, резко отличающейся от принятой в проектной практике. А именно, здесь риск связывается с любыми, положительными или отрицательными отклонениями доходности проекта от средней. Тем самым, если оценивать эффективность проекта, ориентируясь только на один, базисный сценарий его реализации (а именно тогда и применяется бета-метод), то в этом сценарии должны быть предусмотрены средние значения всех показателей.</w:t>
      </w:r>
    </w:p>
    <w:p w:rsidR="00731971" w:rsidRPr="00FC2FCE" w:rsidRDefault="00731971" w:rsidP="007E6012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Между тем, при формировании базисного сценария обычно исходят не из средних, а из умеренно пессимистических значений параметров проекта. Поэтому при применении бета-метода все технико-экономические параметры проекта, включая и цены, должны </w:t>
      </w:r>
      <w:r w:rsidR="007E6012" w:rsidRPr="00FC2FCE">
        <w:rPr>
          <w:rFonts w:ascii="Times New Roman" w:hAnsi="Times New Roman" w:cs="Times New Roman"/>
        </w:rPr>
        <w:t>быть</w:t>
      </w:r>
      <w:r w:rsidRPr="00FC2FCE">
        <w:rPr>
          <w:rFonts w:ascii="Times New Roman" w:hAnsi="Times New Roman" w:cs="Times New Roman"/>
        </w:rPr>
        <w:t xml:space="preserve"> скорректированы в сторону улучшения. Казалось бы, перейти от проектных показателей к средним несложно, однако это не всегда так. Во-первых, при таком переходе изменятся все варианты проекта, в связи с чем предпочтительность базисного варианта может быть поставлена под вопрос. Во-вторых, возникнут проблемы с формированием проектов, ориентированных на “страхование” предприятия от неблагоприятных изменений экономического окружения. Например, исказится оценка эффективности проекта, предусматривающего создание больших запасов сырья в предвидении возможного повышения цен на него, если “в среднем” цены будут снижаться.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2. Даже если предприятие-аналог и проектируемое выпускают сходную продукцию, на цену их акций влияют и другие факторы: структура капитала, дивидендная политика, степень диверсификации производства и т.д. Имеет значение и то обстоятельство, что взаимоотношения с государством у проектируемого предприятия и предприятия-аналога могут быть различными. Поэтому некритическое распространение значения </w:t>
      </w:r>
      <w:r w:rsidR="00BD5ACC">
        <w:rPr>
          <w:rFonts w:ascii="Times New Roman" w:hAnsi="Times New Roman" w:cs="Times New Roman"/>
        </w:rPr>
        <w:pict>
          <v:shape id="_x0000_i1034" type="#_x0000_t75" style="width:10.5pt;height:15pt">
            <v:imagedata r:id="rId10" o:title=""/>
          </v:shape>
        </w:pict>
      </w:r>
      <w:r w:rsidRPr="00FC2FCE">
        <w:rPr>
          <w:rFonts w:ascii="Times New Roman" w:hAnsi="Times New Roman" w:cs="Times New Roman"/>
        </w:rPr>
        <w:t xml:space="preserve">на другие предприятия чревато... 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3. Если связать риск проекта с колебаниями доходности акций предприятия, то ЧДД отразит оценку проекта не с точки зрения предприятия, а с точки зрения его акционеров. Между тем, оценка эффективности участия предприятия в проекте и оценка эффективности проекта для акционеров этого предприятия — это два разных расчета, в которых используются разные нормы дисконта, и бета-метод скорее подходит для второго, а не для первого.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4. В “чистом виде” бета-метод учитывает только один тип рисков. Казалось бы, в формулу можно внести поправки на другие виды рисков (например, учесть вероятность “катастроф”, см. ниже пример </w:t>
      </w:r>
      <w:r w:rsidRPr="00FC2FCE">
        <w:rPr>
          <w:rFonts w:ascii="Times New Roman" w:hAnsi="Times New Roman" w:cs="Times New Roman"/>
          <w:lang w:bidi="he-IL"/>
        </w:rPr>
        <w:t xml:space="preserve">ב). </w:t>
      </w:r>
      <w:r w:rsidRPr="00FC2FCE">
        <w:rPr>
          <w:rFonts w:ascii="Times New Roman" w:hAnsi="Times New Roman" w:cs="Times New Roman"/>
        </w:rPr>
        <w:t xml:space="preserve">Однако учесть вариационные несистематические риски так не удается. Дело в том, что их перечень при бета-методе не задается и остается только гадать, учтен или не учтен этим методом какой-то конкретный вид рисков. Так, неясно, учитывается ли риск серьезного отказа основного технологического оборудования. С одной стороны, такой отказ — вещь сугубо индивидуальная, относящаяся именно к данному проекту. С другой стороны, на предприятии-аналоге тоже есть аналогичное оборудование и отказы его, вроде бы, должны были быть учтены в </w:t>
      </w:r>
      <w:r w:rsidR="00BD5ACC">
        <w:rPr>
          <w:rFonts w:ascii="Times New Roman" w:hAnsi="Times New Roman" w:cs="Times New Roman"/>
        </w:rPr>
        <w:pict>
          <v:shape id="_x0000_i1035" type="#_x0000_t75" style="width:10.5pt;height:15pt">
            <v:imagedata r:id="rId10" o:title=""/>
          </v:shape>
        </w:pict>
      </w:r>
      <w:r w:rsidRPr="00FC2FCE">
        <w:rPr>
          <w:rFonts w:ascii="Times New Roman" w:hAnsi="Times New Roman" w:cs="Times New Roman"/>
        </w:rPr>
        <w:t xml:space="preserve">. 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Таблица 7</w:t>
      </w:r>
    </w:p>
    <w:p w:rsidR="00731971" w:rsidRPr="00FC2FCE" w:rsidRDefault="00731971" w:rsidP="006D4903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Методы установления бета-коэффициентов, опирающиеся на экспертные оценки</w:t>
      </w:r>
    </w:p>
    <w:tbl>
      <w:tblPr>
        <w:tblW w:w="0" w:type="auto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80"/>
        <w:gridCol w:w="613"/>
        <w:gridCol w:w="564"/>
        <w:gridCol w:w="564"/>
        <w:gridCol w:w="564"/>
        <w:gridCol w:w="564"/>
        <w:gridCol w:w="564"/>
        <w:gridCol w:w="564"/>
        <w:gridCol w:w="564"/>
        <w:gridCol w:w="564"/>
        <w:gridCol w:w="470"/>
      </w:tblGrid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Степень риска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Фактор риска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1. низкая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2. средняя</w:t>
            </w: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3. высокая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класс риска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Соответствующее значение </w:t>
            </w:r>
            <w:r w:rsidR="00BD5ACC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6" type="#_x0000_t75" style="width:10.5pt;height:15pt">
                  <v:imagedata r:id="rId10" o:title=""/>
                </v:shape>
              </w:pic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31971" w:rsidRPr="00FC2FC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Общеэкономические факторы (см.табл.1 - 3)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0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социально-политический риск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1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внутриэкономический риск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внешнеэкономический риск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Отраслевые факторы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циклический характер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стадия развития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конкуренция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регулирование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препятствия к вхождению в рынок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Факторы риска на уровне фирмы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ликвидность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29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стабильность дохода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финансовый рычаг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операционный рычаг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доля на рынке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диверсификация клиентуры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диверсификация продукции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диверсификация по территории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технологический уровень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Риск несогласованности интересов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Возможность проведения политики в ущерб интересам держателей ценных бумаг фирмы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spacing w:before="0" w:line="360" w:lineRule="auto"/>
              <w:rPr>
                <w:rFonts w:ascii="Times New Roman" w:hAnsi="Times New Roman" w:cs="Times New Roman"/>
              </w:rPr>
            </w:pPr>
            <w:r w:rsidRPr="00FC2FCE">
              <w:rPr>
                <w:rFonts w:ascii="Times New Roman" w:hAnsi="Times New Roman" w:cs="Times New Roman"/>
              </w:rPr>
              <w:t> 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Итого количество наблюдений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1971" w:rsidRPr="00FC2FCE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 xml:space="preserve">Расчет средневзвешенного </w:t>
            </w:r>
            <w:r w:rsidR="00BD5ACC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7" type="#_x0000_t75" style="width:9pt;height:10.5pt">
                  <v:imagedata r:id="rId13" o:title=""/>
                </v:shape>
              </w:pic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31971" w:rsidRPr="00FC2FCE" w:rsidRDefault="00731971" w:rsidP="006D49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Однако в отличие от предприятия-аналога, проект может предусматривать применение нового оборудования с иными показателями надежности, значит для этого проекта надо дополнительно учесть только разницу в надежности оборудования по проектируемому предприятию и предприятию-аналогу. Аналогично по проектам добычи минерального сырья в величине </w:t>
      </w:r>
      <w:r w:rsidR="00BD5ACC">
        <w:rPr>
          <w:rFonts w:ascii="Times New Roman" w:hAnsi="Times New Roman" w:cs="Times New Roman"/>
        </w:rPr>
        <w:pict>
          <v:shape id="_x0000_i1038" type="#_x0000_t75" style="width:9pt;height:10.5pt">
            <v:imagedata r:id="rId11" o:title=""/>
          </v:shape>
        </w:pict>
      </w:r>
      <w:r w:rsidRPr="00FC2FCE">
        <w:rPr>
          <w:rFonts w:ascii="Times New Roman" w:hAnsi="Times New Roman" w:cs="Times New Roman"/>
        </w:rPr>
        <w:t>надо отразить лишь разницу в степени изученности соответствующих месторождений.</w:t>
      </w:r>
    </w:p>
    <w:p w:rsidR="00731971" w:rsidRPr="00FC2FCE" w:rsidRDefault="00E75E14" w:rsidP="006D4903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31971" w:rsidRPr="00FC2FCE">
        <w:rPr>
          <w:rFonts w:ascii="Times New Roman" w:hAnsi="Times New Roman" w:cs="Times New Roman"/>
        </w:rPr>
        <w:t xml:space="preserve">Если учесть указанные обстоятельства, задача установления </w:t>
      </w:r>
      <w:r w:rsidR="00BD5ACC">
        <w:rPr>
          <w:rFonts w:ascii="Times New Roman" w:hAnsi="Times New Roman" w:cs="Times New Roman"/>
        </w:rPr>
        <w:pict>
          <v:shape id="_x0000_i1039" type="#_x0000_t75" style="width:10.5pt;height:15pt">
            <v:imagedata r:id="rId10" o:title=""/>
          </v:shape>
        </w:pict>
      </w:r>
      <w:r w:rsidR="00731971" w:rsidRPr="00FC2FCE">
        <w:rPr>
          <w:rFonts w:ascii="Times New Roman" w:hAnsi="Times New Roman" w:cs="Times New Roman"/>
        </w:rPr>
        <w:t>по аналогии становится весьма затруднительной. Еще хуже, когда проект предусматривает выпуск какой-то новой продукции, отсутствующей на рынке — здесь аналогов просто нет, хотя есть предприятия из того же сектора экономики. Но тогда сторонникам бета-метода придется, например, базировать оценку эффективности проектов внедрения новых систем связи на показателях действующих телефонных станций, что, по нашему мнению, было бы ошибочно.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Выше говорилось о бета-методе “в чистом виде”. Между тем, он может быть модифицирован и тем самым лучше приспособлен к оценке эффективности инвестиционных проектов. Одна из таких модификаций предложена Дженсеном:</w:t>
      </w:r>
    </w:p>
    <w:p w:rsidR="00731971" w:rsidRPr="00FC2FCE" w:rsidRDefault="00BD5ACC" w:rsidP="006D4903">
      <w:pPr>
        <w:pStyle w:val="a4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pict>
          <v:shape id="_x0000_i1040" type="#_x0000_t75" style="width:132pt;height:17.25pt">
            <v:imagedata r:id="rId14" o:title=""/>
          </v:shape>
        </w:pict>
      </w:r>
      <w:r w:rsidR="00731971" w:rsidRPr="00FC2FCE">
        <w:rPr>
          <w:rFonts w:ascii="Times New Roman" w:hAnsi="Times New Roman" w:cs="Times New Roman"/>
          <w:i/>
          <w:iCs/>
        </w:rPr>
        <w:t>, (3)</w:t>
      </w:r>
    </w:p>
    <w:p w:rsidR="00731971" w:rsidRPr="00FC2FCE" w:rsidRDefault="00731971" w:rsidP="006D4903">
      <w:pPr>
        <w:pStyle w:val="a4"/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где </w:t>
      </w:r>
    </w:p>
    <w:p w:rsidR="00731971" w:rsidRPr="00FC2FCE" w:rsidRDefault="00BD5ACC" w:rsidP="006D4903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1" type="#_x0000_t75" style="width:9pt;height:9pt">
            <v:imagedata r:id="rId15" o:title=""/>
          </v:shape>
        </w:pict>
      </w:r>
      <w:r w:rsidR="00731971" w:rsidRPr="00FC2FCE">
        <w:rPr>
          <w:rFonts w:ascii="Times New Roman" w:hAnsi="Times New Roman" w:cs="Times New Roman"/>
        </w:rPr>
        <w:t>— часть рисковой премии, зависящая от рейтинга, репутации фирмы и отражающая невариационный риск, а также квалификацию менеджеров инвестиционного портфеля,</w:t>
      </w:r>
    </w:p>
    <w:p w:rsidR="00731971" w:rsidRPr="00FC2FCE" w:rsidRDefault="00BD5ACC" w:rsidP="006D4903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2" type="#_x0000_t75" style="width:9pt;height:9pt">
            <v:imagedata r:id="rId16" o:title=""/>
          </v:shape>
        </w:pict>
      </w:r>
      <w:r w:rsidR="00731971" w:rsidRPr="00FC2FCE">
        <w:rPr>
          <w:rFonts w:ascii="Times New Roman" w:hAnsi="Times New Roman" w:cs="Times New Roman"/>
        </w:rPr>
        <w:t>— часть рисковой премии, не обусловленная общерыночными тенденциями и отражающая вариационный несистематический риск.</w:t>
      </w:r>
    </w:p>
    <w:p w:rsidR="00731971" w:rsidRPr="00FC2FCE" w:rsidRDefault="00731971" w:rsidP="007E6012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В этом случае проблема сводится к оценке двух последних параметров формулы, для чего могут быть использованы рекомендации пофакторного подхода. Кстати, уместно обратить внимание на то, что в модификации Дженсена бета-метод сближается с пофакторным. Это позволяет часть премии за риск, связанную с вариационным систематическим риском, рассчитывать бета-методом (если удастся надежно установить </w:t>
      </w:r>
      <w:r w:rsidR="00BD5ACC">
        <w:rPr>
          <w:rFonts w:ascii="Times New Roman" w:hAnsi="Times New Roman" w:cs="Times New Roman"/>
        </w:rPr>
        <w:pict>
          <v:shape id="_x0000_i1043" type="#_x0000_t75" style="width:9pt;height:10.5pt">
            <v:imagedata r:id="rId11" o:title=""/>
          </v:shape>
        </w:pict>
      </w:r>
      <w:r w:rsidRPr="00FC2FCE">
        <w:rPr>
          <w:rFonts w:ascii="Times New Roman" w:hAnsi="Times New Roman" w:cs="Times New Roman"/>
        </w:rPr>
        <w:t>), а все остальное — пофакторным методом.</w:t>
      </w:r>
    </w:p>
    <w:p w:rsidR="00731971" w:rsidRPr="00FC2FCE" w:rsidRDefault="00731971" w:rsidP="007E6012">
      <w:pPr>
        <w:pStyle w:val="a4"/>
        <w:spacing w:line="360" w:lineRule="auto"/>
        <w:ind w:firstLine="708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 xml:space="preserve">Другая модификация бета-метода предложена Хамадой в [7] (цитировано по [4]). Здесь показано, что бета-коэффициент зависит от ставки </w:t>
      </w:r>
      <w:r w:rsidRPr="00FC2FCE">
        <w:rPr>
          <w:rFonts w:ascii="Times New Roman" w:hAnsi="Times New Roman" w:cs="Times New Roman"/>
          <w:i/>
          <w:iCs/>
        </w:rPr>
        <w:t>p</w:t>
      </w:r>
      <w:r w:rsidRPr="00FC2FCE">
        <w:rPr>
          <w:rFonts w:ascii="Times New Roman" w:hAnsi="Times New Roman" w:cs="Times New Roman"/>
        </w:rPr>
        <w:t xml:space="preserve"> налога на прибыль и соотношения </w:t>
      </w:r>
      <w:r w:rsidRPr="00FC2FCE">
        <w:rPr>
          <w:rFonts w:ascii="Times New Roman" w:hAnsi="Times New Roman" w:cs="Times New Roman"/>
          <w:i/>
          <w:iCs/>
        </w:rPr>
        <w:t>d</w:t>
      </w:r>
      <w:r w:rsidRPr="00FC2FCE">
        <w:rPr>
          <w:rFonts w:ascii="Times New Roman" w:hAnsi="Times New Roman" w:cs="Times New Roman"/>
        </w:rPr>
        <w:t xml:space="preserve"> заемного и собственного капитала, характеризующего одновременно и финансовую устойчивость фирмы, и связанный с этим финансовый риск. С учетом этого обстоятельства формула принимает вид:</w:t>
      </w:r>
    </w:p>
    <w:p w:rsidR="00731971" w:rsidRPr="00FC2FCE" w:rsidRDefault="00BD5ACC" w:rsidP="006D4903">
      <w:pPr>
        <w:pStyle w:val="a4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pict>
          <v:shape id="_x0000_i1044" type="#_x0000_t75" style="width:153pt;height:19.5pt">
            <v:imagedata r:id="rId17" o:title=""/>
          </v:shape>
        </w:pict>
      </w:r>
      <w:r w:rsidR="00731971" w:rsidRPr="00FC2FCE">
        <w:rPr>
          <w:rFonts w:ascii="Times New Roman" w:hAnsi="Times New Roman" w:cs="Times New Roman"/>
          <w:i/>
          <w:iCs/>
        </w:rPr>
        <w:t>. (4)</w:t>
      </w:r>
    </w:p>
    <w:p w:rsidR="00731971" w:rsidRPr="00FC2FCE" w:rsidRDefault="00E75E14" w:rsidP="006D4903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31971" w:rsidRPr="00FC2FCE">
        <w:rPr>
          <w:rFonts w:ascii="Times New Roman" w:hAnsi="Times New Roman" w:cs="Times New Roman"/>
        </w:rPr>
        <w:t xml:space="preserve">Входящий сюда параметр </w:t>
      </w:r>
      <w:r w:rsidR="00BD5ACC">
        <w:rPr>
          <w:rFonts w:ascii="Times New Roman" w:hAnsi="Times New Roman" w:cs="Times New Roman"/>
        </w:rPr>
        <w:pict>
          <v:shape id="_x0000_i1045" type="#_x0000_t75" style="width:9pt;height:15pt">
            <v:imagedata r:id="rId18" o:title=""/>
          </v:shape>
        </w:pict>
      </w:r>
      <w:r w:rsidR="00731971" w:rsidRPr="00FC2FCE">
        <w:rPr>
          <w:rFonts w:ascii="Times New Roman" w:hAnsi="Times New Roman" w:cs="Times New Roman"/>
        </w:rPr>
        <w:t xml:space="preserve">аналогичен </w:t>
      </w:r>
      <w:r w:rsidR="00BD5ACC">
        <w:rPr>
          <w:rFonts w:ascii="Times New Roman" w:hAnsi="Times New Roman" w:cs="Times New Roman"/>
        </w:rPr>
        <w:pict>
          <v:shape id="_x0000_i1046" type="#_x0000_t75" style="width:10.5pt;height:15pt">
            <v:imagedata r:id="rId10" o:title=""/>
          </v:shape>
        </w:pict>
      </w:r>
      <w:r w:rsidR="00731971" w:rsidRPr="00FC2FCE">
        <w:rPr>
          <w:rFonts w:ascii="Times New Roman" w:hAnsi="Times New Roman" w:cs="Times New Roman"/>
        </w:rPr>
        <w:t xml:space="preserve">, но относится теперь к фирмам, не использующим заемных средств. При оценке его по данным предприятия-аналога для последнего вначале находят “обычный” бета-коэффициент, который затем делят на </w:t>
      </w:r>
      <w:r w:rsidR="00BD5ACC">
        <w:rPr>
          <w:rFonts w:ascii="Times New Roman" w:hAnsi="Times New Roman" w:cs="Times New Roman"/>
        </w:rPr>
        <w:pict>
          <v:shape id="_x0000_i1047" type="#_x0000_t75" style="width:63pt;height:15pt">
            <v:imagedata r:id="rId19" o:title=""/>
          </v:shape>
        </w:pict>
      </w:r>
      <w:r w:rsidR="00731971" w:rsidRPr="00FC2FCE">
        <w:rPr>
          <w:rFonts w:ascii="Times New Roman" w:hAnsi="Times New Roman" w:cs="Times New Roman"/>
        </w:rPr>
        <w:t xml:space="preserve">. Полученное значение </w:t>
      </w:r>
      <w:r w:rsidR="00BD5ACC">
        <w:rPr>
          <w:rFonts w:ascii="Times New Roman" w:hAnsi="Times New Roman" w:cs="Times New Roman"/>
        </w:rPr>
        <w:pict>
          <v:shape id="_x0000_i1048" type="#_x0000_t75" style="width:10.5pt;height:17.25pt">
            <v:imagedata r:id="rId20" o:title=""/>
          </v:shape>
        </w:pict>
      </w:r>
      <w:r w:rsidR="00731971" w:rsidRPr="00FC2FCE">
        <w:rPr>
          <w:rFonts w:ascii="Times New Roman" w:hAnsi="Times New Roman" w:cs="Times New Roman"/>
        </w:rPr>
        <w:t xml:space="preserve">можно распространить на проектируемое предприятие, используя формулу и проектируемое значение </w:t>
      </w:r>
      <w:r w:rsidR="00731971" w:rsidRPr="00FC2FCE">
        <w:rPr>
          <w:rFonts w:ascii="Times New Roman" w:hAnsi="Times New Roman" w:cs="Times New Roman"/>
          <w:i/>
          <w:iCs/>
        </w:rPr>
        <w:t>d</w:t>
      </w:r>
      <w:r w:rsidR="00731971" w:rsidRPr="00FC2FCE">
        <w:rPr>
          <w:rFonts w:ascii="Times New Roman" w:hAnsi="Times New Roman" w:cs="Times New Roman"/>
        </w:rPr>
        <w:t>.</w:t>
      </w:r>
    </w:p>
    <w:p w:rsidR="00731971" w:rsidRPr="00FC2FCE" w:rsidRDefault="00E75E14" w:rsidP="006D4903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31971" w:rsidRPr="00FC2FCE">
        <w:rPr>
          <w:rFonts w:ascii="Times New Roman" w:hAnsi="Times New Roman" w:cs="Times New Roman"/>
        </w:rPr>
        <w:t xml:space="preserve">В то же время неясно, можно ли использовать формулу Хамады в ситуациях, когда </w:t>
      </w:r>
      <w:r w:rsidR="00731971" w:rsidRPr="00FC2FCE">
        <w:rPr>
          <w:rFonts w:ascii="Times New Roman" w:hAnsi="Times New Roman" w:cs="Times New Roman"/>
          <w:i/>
          <w:iCs/>
        </w:rPr>
        <w:t>d</w:t>
      </w:r>
      <w:r w:rsidR="00731971" w:rsidRPr="00FC2FCE">
        <w:rPr>
          <w:rFonts w:ascii="Times New Roman" w:hAnsi="Times New Roman" w:cs="Times New Roman"/>
        </w:rPr>
        <w:t xml:space="preserve"> меняется в ходе реализации проекта, для установления дифференцированных по шагам норм дисконта.</w:t>
      </w:r>
    </w:p>
    <w:p w:rsidR="00FC2FCE" w:rsidRPr="00FC2FCE" w:rsidRDefault="00FC2FCE" w:rsidP="00FC2FCE">
      <w:pPr>
        <w:spacing w:before="100" w:beforeAutospacing="1" w:after="100" w:afterAutospacing="1" w:line="36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FC2FCE" w:rsidRPr="00FC2FCE" w:rsidRDefault="00FC2FCE" w:rsidP="00FC2FCE">
      <w:pPr>
        <w:spacing w:before="100" w:beforeAutospacing="1" w:after="100" w:afterAutospacing="1" w:line="36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FC2FCE" w:rsidRPr="00FC2FCE" w:rsidRDefault="00FC2FCE" w:rsidP="00FC2FCE">
      <w:pPr>
        <w:spacing w:before="100" w:beforeAutospacing="1" w:after="100" w:afterAutospacing="1" w:line="36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FC2FCE" w:rsidRPr="00FC2FCE" w:rsidRDefault="00FC2FCE" w:rsidP="00FC2FCE">
      <w:pPr>
        <w:spacing w:before="100" w:beforeAutospacing="1" w:after="100" w:afterAutospacing="1" w:line="36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E75E14" w:rsidRDefault="00E75E14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E14" w:rsidRDefault="00E75E14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E14" w:rsidRDefault="00E75E14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E14" w:rsidRDefault="00E75E14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E14" w:rsidRDefault="00E75E14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E14" w:rsidRDefault="00E75E14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E14" w:rsidRDefault="00E75E14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E14" w:rsidRDefault="00E75E14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E14" w:rsidRDefault="00E75E14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C2FCE" w:rsidRPr="00FC2FCE" w:rsidRDefault="00FC2FCE" w:rsidP="00FC2FC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C2FCE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FC2FCE" w:rsidRPr="00FC2FCE" w:rsidRDefault="00FC2FCE" w:rsidP="00FC2FC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2FCE">
        <w:rPr>
          <w:rFonts w:ascii="Times New Roman" w:hAnsi="Times New Roman" w:cs="Times New Roman"/>
          <w:sz w:val="28"/>
          <w:szCs w:val="28"/>
        </w:rPr>
        <w:t xml:space="preserve">Бирман Г., Шмидт С. Экономический анализ инвестиционных проектов. -М.: Банки и биржи, ЮНИТИ, 1997. </w:t>
      </w:r>
    </w:p>
    <w:p w:rsidR="00FC2FCE" w:rsidRPr="00FC2FCE" w:rsidRDefault="00FC2FCE" w:rsidP="00FC2FCE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 w:cs="Times New Roman"/>
        </w:rPr>
      </w:pPr>
      <w:r w:rsidRPr="00FC2FCE">
        <w:rPr>
          <w:rFonts w:ascii="Times New Roman" w:hAnsi="Times New Roman" w:cs="Times New Roman"/>
        </w:rPr>
        <w:t>Борисов А.Б. Большой экономический словарь. — М.: Книжный мир, 2003. — 895 с.</w:t>
      </w:r>
    </w:p>
    <w:p w:rsidR="00FC2FCE" w:rsidRPr="00FC2FCE" w:rsidRDefault="00FC2FCE" w:rsidP="00FC2FC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2FCE">
        <w:rPr>
          <w:rFonts w:ascii="Times New Roman" w:hAnsi="Times New Roman" w:cs="Times New Roman"/>
          <w:color w:val="auto"/>
          <w:sz w:val="28"/>
          <w:szCs w:val="28"/>
        </w:rPr>
        <w:t>Бригхем Ю., Гапенски Л. Финансовый менеджмент. В 2-х т. Том 1. Санкт-Петербург: Экономическая школа, 1997.</w:t>
      </w:r>
    </w:p>
    <w:p w:rsidR="00FC2FCE" w:rsidRPr="00FC2FCE" w:rsidRDefault="00FC2FCE" w:rsidP="00FC2FC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C2FCE">
        <w:rPr>
          <w:rFonts w:ascii="Times New Roman" w:hAnsi="Times New Roman" w:cs="Times New Roman"/>
          <w:sz w:val="28"/>
          <w:szCs w:val="28"/>
        </w:rPr>
        <w:t xml:space="preserve">Валдайцев С.В. Оценка бизнеса и инноваций. — М.: Филинъ, 1997. </w:t>
      </w:r>
    </w:p>
    <w:p w:rsidR="00FC2FCE" w:rsidRPr="00FC2FCE" w:rsidRDefault="00FC2FCE" w:rsidP="00FC2FC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C2FCE">
        <w:rPr>
          <w:rFonts w:ascii="Times New Roman" w:hAnsi="Times New Roman" w:cs="Times New Roman"/>
          <w:sz w:val="28"/>
          <w:szCs w:val="28"/>
        </w:rPr>
        <w:t xml:space="preserve">Ван Хорн Дж.К. Основы управления финансами. — М.: Финансы и статистика, 1996. </w:t>
      </w:r>
    </w:p>
    <w:p w:rsidR="00FC2FCE" w:rsidRPr="00FC2FCE" w:rsidRDefault="00FC2FCE" w:rsidP="00FC2FC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2FCE">
        <w:rPr>
          <w:rFonts w:ascii="Times New Roman" w:hAnsi="Times New Roman" w:cs="Times New Roman"/>
          <w:color w:val="auto"/>
          <w:sz w:val="28"/>
          <w:szCs w:val="28"/>
        </w:rPr>
        <w:t xml:space="preserve">Корельский В.Ф., Гаврилов Р.В. </w:t>
      </w:r>
      <w:r w:rsidRPr="00862063">
        <w:rPr>
          <w:rFonts w:ascii="Times New Roman" w:hAnsi="Times New Roman" w:cs="Times New Roman"/>
          <w:color w:val="auto"/>
          <w:sz w:val="28"/>
          <w:szCs w:val="28"/>
        </w:rPr>
        <w:t>Биржевой словарь</w:t>
      </w:r>
      <w:r w:rsidRPr="00E75E1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FC2FCE">
        <w:rPr>
          <w:rFonts w:ascii="Times New Roman" w:hAnsi="Times New Roman" w:cs="Times New Roman"/>
          <w:color w:val="auto"/>
          <w:sz w:val="28"/>
          <w:szCs w:val="28"/>
        </w:rPr>
        <w:t xml:space="preserve">В 2 т.-М., 2000 </w:t>
      </w:r>
    </w:p>
    <w:p w:rsidR="00FC2FCE" w:rsidRPr="00FC2FCE" w:rsidRDefault="00731971" w:rsidP="00FC2FC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2FCE">
        <w:rPr>
          <w:rFonts w:ascii="Times New Roman" w:hAnsi="Times New Roman" w:cs="Times New Roman"/>
          <w:sz w:val="28"/>
          <w:szCs w:val="28"/>
        </w:rPr>
        <w:t xml:space="preserve">Лимитовский М.А. Основы оценки инвестиционных и финансовых решений. - М.: ДеКА, 1996. </w:t>
      </w:r>
    </w:p>
    <w:p w:rsidR="002A4956" w:rsidRPr="00FC2FCE" w:rsidRDefault="002A4956" w:rsidP="00FC2FC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2FCE">
        <w:rPr>
          <w:rFonts w:ascii="Times New Roman" w:hAnsi="Times New Roman" w:cs="Times New Roman"/>
          <w:color w:val="auto"/>
          <w:sz w:val="28"/>
          <w:szCs w:val="28"/>
        </w:rPr>
        <w:t>Недосекин А.О., Воронов К.И. Анализ риска инвестиций с применением нечетких множеств // Управление риском, 2000, №1.</w:t>
      </w:r>
    </w:p>
    <w:p w:rsidR="002A4956" w:rsidRPr="00FC2FCE" w:rsidRDefault="002A4956" w:rsidP="00FC2FCE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62063">
        <w:rPr>
          <w:rFonts w:ascii="Times New Roman" w:hAnsi="Times New Roman" w:cs="Times New Roman"/>
          <w:color w:val="auto"/>
          <w:sz w:val="28"/>
          <w:szCs w:val="28"/>
        </w:rPr>
        <w:t>http://www.vmgroup.sp.ru</w:t>
      </w:r>
    </w:p>
    <w:p w:rsidR="002A4956" w:rsidRPr="00FC2FCE" w:rsidRDefault="002A4956" w:rsidP="002A4956">
      <w:pPr>
        <w:pStyle w:val="a4"/>
        <w:spacing w:line="360" w:lineRule="auto"/>
        <w:rPr>
          <w:rFonts w:ascii="Times New Roman" w:hAnsi="Times New Roman" w:cs="Times New Roman"/>
        </w:rPr>
      </w:pPr>
    </w:p>
    <w:p w:rsidR="002A4956" w:rsidRPr="00FC2FCE" w:rsidRDefault="002A4956" w:rsidP="006D4903">
      <w:pPr>
        <w:pStyle w:val="a4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A4956" w:rsidRPr="00FC2FCE" w:rsidSect="006D490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32" w:rsidRDefault="006D5832">
      <w:pPr>
        <w:spacing w:before="0"/>
      </w:pPr>
      <w:r>
        <w:separator/>
      </w:r>
    </w:p>
  </w:endnote>
  <w:endnote w:type="continuationSeparator" w:id="0">
    <w:p w:rsidR="006D5832" w:rsidRDefault="006D58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45" w:rsidRDefault="00862063" w:rsidP="006D4903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4D7845" w:rsidRDefault="004D7845" w:rsidP="006D49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32" w:rsidRDefault="006D5832">
      <w:pPr>
        <w:spacing w:before="0"/>
      </w:pPr>
      <w:r>
        <w:separator/>
      </w:r>
    </w:p>
  </w:footnote>
  <w:footnote w:type="continuationSeparator" w:id="0">
    <w:p w:rsidR="006D5832" w:rsidRDefault="006D58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924AAE"/>
    <w:lvl w:ilvl="0">
      <w:numFmt w:val="decimal"/>
      <w:lvlText w:val="*"/>
      <w:lvlJc w:val="left"/>
    </w:lvl>
  </w:abstractNum>
  <w:abstractNum w:abstractNumId="1">
    <w:nsid w:val="010D7E87"/>
    <w:multiLevelType w:val="multilevel"/>
    <w:tmpl w:val="A46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3FF730C"/>
    <w:multiLevelType w:val="multilevel"/>
    <w:tmpl w:val="A790B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891C1E"/>
    <w:multiLevelType w:val="multilevel"/>
    <w:tmpl w:val="A352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364EA"/>
    <w:multiLevelType w:val="multilevel"/>
    <w:tmpl w:val="7F0EB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D2D34A0"/>
    <w:multiLevelType w:val="multilevel"/>
    <w:tmpl w:val="4A52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DB178A7"/>
    <w:multiLevelType w:val="multilevel"/>
    <w:tmpl w:val="D33E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FA30123"/>
    <w:multiLevelType w:val="multilevel"/>
    <w:tmpl w:val="955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FD46B3C"/>
    <w:multiLevelType w:val="multilevel"/>
    <w:tmpl w:val="6CBC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062425E"/>
    <w:multiLevelType w:val="multilevel"/>
    <w:tmpl w:val="953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11F05F0"/>
    <w:multiLevelType w:val="multilevel"/>
    <w:tmpl w:val="E40C1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7FE15B1"/>
    <w:multiLevelType w:val="multilevel"/>
    <w:tmpl w:val="C16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9F44E08"/>
    <w:multiLevelType w:val="multilevel"/>
    <w:tmpl w:val="91A4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D03DA9"/>
    <w:multiLevelType w:val="multilevel"/>
    <w:tmpl w:val="9C8E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05D357F"/>
    <w:multiLevelType w:val="multilevel"/>
    <w:tmpl w:val="15C45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A2762C3"/>
    <w:multiLevelType w:val="multilevel"/>
    <w:tmpl w:val="32F65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F7F4DE4"/>
    <w:multiLevelType w:val="multilevel"/>
    <w:tmpl w:val="ECD6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3B67FD4"/>
    <w:multiLevelType w:val="singleLevel"/>
    <w:tmpl w:val="654810A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8">
    <w:nsid w:val="3AD117C0"/>
    <w:multiLevelType w:val="multilevel"/>
    <w:tmpl w:val="8AB6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AD70D97"/>
    <w:multiLevelType w:val="multilevel"/>
    <w:tmpl w:val="3D7E7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D1C1C96"/>
    <w:multiLevelType w:val="hybridMultilevel"/>
    <w:tmpl w:val="7E6C7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2E1C51"/>
    <w:multiLevelType w:val="multilevel"/>
    <w:tmpl w:val="E82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3636579"/>
    <w:multiLevelType w:val="multilevel"/>
    <w:tmpl w:val="3CFE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69F05F2"/>
    <w:multiLevelType w:val="multilevel"/>
    <w:tmpl w:val="6CDC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AD92EF7"/>
    <w:multiLevelType w:val="multilevel"/>
    <w:tmpl w:val="030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7C530B"/>
    <w:multiLevelType w:val="multilevel"/>
    <w:tmpl w:val="4E40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922987"/>
    <w:multiLevelType w:val="multilevel"/>
    <w:tmpl w:val="C3C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E8F072B"/>
    <w:multiLevelType w:val="multilevel"/>
    <w:tmpl w:val="500A1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EBE0876"/>
    <w:multiLevelType w:val="multilevel"/>
    <w:tmpl w:val="966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EFE25E6"/>
    <w:multiLevelType w:val="multilevel"/>
    <w:tmpl w:val="2DBC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F3D180D"/>
    <w:multiLevelType w:val="multilevel"/>
    <w:tmpl w:val="A47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0103F9C"/>
    <w:multiLevelType w:val="multilevel"/>
    <w:tmpl w:val="1804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57232F6"/>
    <w:multiLevelType w:val="multilevel"/>
    <w:tmpl w:val="6BB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DFD0699"/>
    <w:multiLevelType w:val="multilevel"/>
    <w:tmpl w:val="81B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0B54968"/>
    <w:multiLevelType w:val="multilevel"/>
    <w:tmpl w:val="B0E0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74342FB"/>
    <w:multiLevelType w:val="multilevel"/>
    <w:tmpl w:val="9802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87520AE"/>
    <w:multiLevelType w:val="multilevel"/>
    <w:tmpl w:val="F4E2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A760B78"/>
    <w:multiLevelType w:val="multilevel"/>
    <w:tmpl w:val="44F2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B9D2EC0"/>
    <w:multiLevelType w:val="multilevel"/>
    <w:tmpl w:val="6A1C1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C10713F"/>
    <w:multiLevelType w:val="multilevel"/>
    <w:tmpl w:val="C08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C530297"/>
    <w:multiLevelType w:val="multilevel"/>
    <w:tmpl w:val="073E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F317172"/>
    <w:multiLevelType w:val="multilevel"/>
    <w:tmpl w:val="F992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59A7068"/>
    <w:multiLevelType w:val="multilevel"/>
    <w:tmpl w:val="10B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4"/>
  </w:num>
  <w:num w:numId="3">
    <w:abstractNumId w:val="27"/>
  </w:num>
  <w:num w:numId="4">
    <w:abstractNumId w:val="15"/>
  </w:num>
  <w:num w:numId="5">
    <w:abstractNumId w:val="14"/>
  </w:num>
  <w:num w:numId="6">
    <w:abstractNumId w:val="2"/>
  </w:num>
  <w:num w:numId="7">
    <w:abstractNumId w:val="19"/>
  </w:num>
  <w:num w:numId="8">
    <w:abstractNumId w:val="38"/>
  </w:num>
  <w:num w:numId="9">
    <w:abstractNumId w:val="13"/>
  </w:num>
  <w:num w:numId="10">
    <w:abstractNumId w:val="36"/>
  </w:num>
  <w:num w:numId="11">
    <w:abstractNumId w:val="28"/>
  </w:num>
  <w:num w:numId="12">
    <w:abstractNumId w:val="42"/>
  </w:num>
  <w:num w:numId="13">
    <w:abstractNumId w:val="33"/>
  </w:num>
  <w:num w:numId="14">
    <w:abstractNumId w:val="7"/>
  </w:num>
  <w:num w:numId="15">
    <w:abstractNumId w:val="41"/>
  </w:num>
  <w:num w:numId="16">
    <w:abstractNumId w:val="9"/>
  </w:num>
  <w:num w:numId="17">
    <w:abstractNumId w:val="22"/>
  </w:num>
  <w:num w:numId="18">
    <w:abstractNumId w:val="31"/>
  </w:num>
  <w:num w:numId="19">
    <w:abstractNumId w:val="16"/>
  </w:num>
  <w:num w:numId="20">
    <w:abstractNumId w:val="23"/>
  </w:num>
  <w:num w:numId="21">
    <w:abstractNumId w:val="37"/>
  </w:num>
  <w:num w:numId="22">
    <w:abstractNumId w:val="5"/>
  </w:num>
  <w:num w:numId="23">
    <w:abstractNumId w:val="12"/>
  </w:num>
  <w:num w:numId="24">
    <w:abstractNumId w:val="39"/>
  </w:num>
  <w:num w:numId="25">
    <w:abstractNumId w:val="1"/>
  </w:num>
  <w:num w:numId="26">
    <w:abstractNumId w:val="40"/>
  </w:num>
  <w:num w:numId="27">
    <w:abstractNumId w:val="11"/>
  </w:num>
  <w:num w:numId="28">
    <w:abstractNumId w:val="30"/>
  </w:num>
  <w:num w:numId="29">
    <w:abstractNumId w:val="26"/>
  </w:num>
  <w:num w:numId="30">
    <w:abstractNumId w:val="35"/>
  </w:num>
  <w:num w:numId="31">
    <w:abstractNumId w:val="18"/>
  </w:num>
  <w:num w:numId="32">
    <w:abstractNumId w:val="32"/>
  </w:num>
  <w:num w:numId="33">
    <w:abstractNumId w:val="8"/>
  </w:num>
  <w:num w:numId="34">
    <w:abstractNumId w:val="21"/>
  </w:num>
  <w:num w:numId="35">
    <w:abstractNumId w:val="6"/>
  </w:num>
  <w:num w:numId="36">
    <w:abstractNumId w:val="29"/>
  </w:num>
  <w:num w:numId="37">
    <w:abstractNumId w:val="25"/>
  </w:num>
  <w:num w:numId="38">
    <w:abstractNumId w:val="34"/>
  </w:num>
  <w:num w:numId="39">
    <w:abstractNumId w:val="24"/>
  </w:num>
  <w:num w:numId="40">
    <w:abstractNumId w:val="3"/>
  </w:num>
  <w:num w:numId="41">
    <w:abstractNumId w:val="20"/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5FD"/>
    <w:rsid w:val="00014D98"/>
    <w:rsid w:val="000A183E"/>
    <w:rsid w:val="00125BA4"/>
    <w:rsid w:val="00144F87"/>
    <w:rsid w:val="001D0C60"/>
    <w:rsid w:val="001D6CEB"/>
    <w:rsid w:val="002242E7"/>
    <w:rsid w:val="002A4956"/>
    <w:rsid w:val="003A10C6"/>
    <w:rsid w:val="003A3439"/>
    <w:rsid w:val="003C5C05"/>
    <w:rsid w:val="004218CF"/>
    <w:rsid w:val="00426C03"/>
    <w:rsid w:val="004D7845"/>
    <w:rsid w:val="004F6AF9"/>
    <w:rsid w:val="005F2040"/>
    <w:rsid w:val="006D4903"/>
    <w:rsid w:val="006D5832"/>
    <w:rsid w:val="00731971"/>
    <w:rsid w:val="007E6012"/>
    <w:rsid w:val="00862063"/>
    <w:rsid w:val="0096605E"/>
    <w:rsid w:val="00A6722D"/>
    <w:rsid w:val="00A73BC1"/>
    <w:rsid w:val="00AD7917"/>
    <w:rsid w:val="00B20512"/>
    <w:rsid w:val="00B238B3"/>
    <w:rsid w:val="00B45EDB"/>
    <w:rsid w:val="00B519E3"/>
    <w:rsid w:val="00B84E16"/>
    <w:rsid w:val="00BD5ACC"/>
    <w:rsid w:val="00C45435"/>
    <w:rsid w:val="00CB22B8"/>
    <w:rsid w:val="00CC48E4"/>
    <w:rsid w:val="00CC7BD6"/>
    <w:rsid w:val="00DB3866"/>
    <w:rsid w:val="00DD15FD"/>
    <w:rsid w:val="00E75E14"/>
    <w:rsid w:val="00EE11F0"/>
    <w:rsid w:val="00EE4318"/>
    <w:rsid w:val="00F93DF7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9B82A04E-A7A9-439B-BE17-9610869B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44F87"/>
    <w:pPr>
      <w:spacing w:before="14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31971"/>
    <w:pPr>
      <w:keepNext/>
      <w:spacing w:before="240" w:after="60"/>
      <w:outlineLvl w:val="0"/>
    </w:pPr>
    <w:rPr>
      <w:b/>
      <w:bCs/>
      <w:color w:val="auto"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319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66666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4F87"/>
    <w:pPr>
      <w:keepNext/>
      <w:spacing w:before="240" w:after="60"/>
      <w:outlineLvl w:val="2"/>
    </w:pPr>
    <w:rPr>
      <w:b/>
      <w:bCs/>
      <w:color w:val="auto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A183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DD15FD"/>
    <w:rPr>
      <w:rFonts w:ascii="Verdana" w:hAnsi="Verdana" w:cs="Verdana"/>
      <w:color w:val="000000"/>
      <w:sz w:val="28"/>
      <w:szCs w:val="28"/>
      <w:u w:val="single"/>
    </w:rPr>
  </w:style>
  <w:style w:type="paragraph" w:styleId="a4">
    <w:name w:val="Normal (Web)"/>
    <w:basedOn w:val="a"/>
    <w:uiPriority w:val="99"/>
    <w:rsid w:val="00DD15FD"/>
    <w:pPr>
      <w:spacing w:before="100" w:beforeAutospacing="1" w:after="100" w:afterAutospacing="1"/>
    </w:pPr>
    <w:rPr>
      <w:rFonts w:ascii="Verdana" w:hAnsi="Verdana" w:cs="Verdana"/>
      <w:sz w:val="28"/>
      <w:szCs w:val="28"/>
    </w:rPr>
  </w:style>
  <w:style w:type="character" w:customStyle="1" w:styleId="accented">
    <w:name w:val="accented"/>
    <w:uiPriority w:val="99"/>
    <w:rsid w:val="00014D98"/>
  </w:style>
  <w:style w:type="character" w:styleId="a5">
    <w:name w:val="FollowedHyperlink"/>
    <w:uiPriority w:val="99"/>
    <w:rsid w:val="00731971"/>
    <w:rPr>
      <w:color w:val="0033CC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731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Times New Roman" w:hAnsi="Times New Roman" w:cs="Times New Roman"/>
      <w:color w:val="333333"/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hd3">
    <w:name w:val="hd3"/>
    <w:basedOn w:val="a"/>
    <w:uiPriority w:val="99"/>
    <w:rsid w:val="00731971"/>
    <w:pPr>
      <w:spacing w:before="100" w:beforeAutospacing="1" w:after="100" w:afterAutospacing="1"/>
    </w:pPr>
    <w:rPr>
      <w:rFonts w:ascii="Times New Roman" w:hAnsi="Times New Roman" w:cs="Times New Roman"/>
      <w:color w:val="666666"/>
      <w:sz w:val="34"/>
      <w:szCs w:val="34"/>
    </w:rPr>
  </w:style>
  <w:style w:type="paragraph" w:customStyle="1" w:styleId="mnu">
    <w:name w:val="mnu"/>
    <w:basedOn w:val="a"/>
    <w:uiPriority w:val="99"/>
    <w:rsid w:val="00731971"/>
    <w:pP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tx2">
    <w:name w:val="tx2"/>
    <w:basedOn w:val="a"/>
    <w:uiPriority w:val="99"/>
    <w:rsid w:val="00731971"/>
    <w:pPr>
      <w:spacing w:before="100" w:beforeAutospacing="1" w:after="100" w:afterAutospacing="1"/>
    </w:pPr>
    <w:rPr>
      <w:rFonts w:ascii="Times New Roman" w:hAnsi="Times New Roman" w:cs="Times New Roman"/>
      <w:color w:val="333333"/>
    </w:rPr>
  </w:style>
  <w:style w:type="paragraph" w:customStyle="1" w:styleId="ml">
    <w:name w:val="ml"/>
    <w:basedOn w:val="a"/>
    <w:uiPriority w:val="99"/>
    <w:rsid w:val="00731971"/>
    <w:pPr>
      <w:spacing w:before="100" w:beforeAutospacing="1" w:after="100" w:afterAutospacing="1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crd">
    <w:name w:val="crd"/>
    <w:basedOn w:val="a"/>
    <w:uiPriority w:val="99"/>
    <w:rsid w:val="00731971"/>
    <w:pPr>
      <w:spacing w:before="100" w:beforeAutospacing="1" w:after="100" w:afterAutospacing="1"/>
    </w:pPr>
    <w:rPr>
      <w:rFonts w:ascii="Times New Roman" w:hAnsi="Times New Roman" w:cs="Times New Roman"/>
      <w:color w:val="333333"/>
    </w:rPr>
  </w:style>
  <w:style w:type="paragraph" w:customStyle="1" w:styleId="redline">
    <w:name w:val="redline"/>
    <w:basedOn w:val="a"/>
    <w:uiPriority w:val="99"/>
    <w:rsid w:val="00731971"/>
    <w:pPr>
      <w:spacing w:before="100" w:beforeAutospacing="1" w:after="100" w:afterAutospacing="1"/>
      <w:ind w:firstLine="320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tx1">
    <w:name w:val="tx1"/>
    <w:basedOn w:val="a"/>
    <w:uiPriority w:val="99"/>
    <w:rsid w:val="00731971"/>
    <w:pPr>
      <w:spacing w:before="100" w:beforeAutospacing="1" w:after="100" w:afterAutospacing="1"/>
    </w:pPr>
    <w:rPr>
      <w:rFonts w:ascii="Times New Roman" w:hAnsi="Times New Roman" w:cs="Times New Roman"/>
      <w:color w:val="333333"/>
      <w:sz w:val="22"/>
      <w:szCs w:val="22"/>
    </w:rPr>
  </w:style>
  <w:style w:type="paragraph" w:customStyle="1" w:styleId="navarr">
    <w:name w:val="navarr"/>
    <w:basedOn w:val="a"/>
    <w:uiPriority w:val="99"/>
    <w:rsid w:val="00731971"/>
    <w:pPr>
      <w:spacing w:before="100" w:beforeAutospacing="1" w:after="100" w:afterAutospacing="1"/>
    </w:pPr>
    <w:rPr>
      <w:color w:val="333333"/>
    </w:rPr>
  </w:style>
  <w:style w:type="paragraph" w:customStyle="1" w:styleId="about">
    <w:name w:val="about"/>
    <w:basedOn w:val="a"/>
    <w:uiPriority w:val="99"/>
    <w:rsid w:val="00731971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</w:rPr>
  </w:style>
  <w:style w:type="paragraph" w:customStyle="1" w:styleId="inp">
    <w:name w:val="inp"/>
    <w:basedOn w:val="a"/>
    <w:uiPriority w:val="99"/>
    <w:rsid w:val="00731971"/>
    <w:pPr>
      <w:spacing w:before="100" w:beforeAutospacing="1" w:after="100" w:afterAutospacing="1"/>
    </w:pPr>
    <w:rPr>
      <w:rFonts w:ascii="Verdana" w:hAnsi="Verdana" w:cs="Verdana"/>
      <w:color w:val="0033CC"/>
      <w:sz w:val="22"/>
      <w:szCs w:val="22"/>
    </w:rPr>
  </w:style>
  <w:style w:type="paragraph" w:customStyle="1" w:styleId="tarea">
    <w:name w:val="tarea"/>
    <w:basedOn w:val="a"/>
    <w:uiPriority w:val="99"/>
    <w:rsid w:val="00731971"/>
    <w:pPr>
      <w:spacing w:before="100" w:beforeAutospacing="1" w:after="100" w:afterAutospacing="1"/>
    </w:pPr>
    <w:rPr>
      <w:rFonts w:ascii="Verdana" w:hAnsi="Verdana" w:cs="Verdana"/>
      <w:color w:val="333333"/>
    </w:rPr>
  </w:style>
  <w:style w:type="character" w:customStyle="1" w:styleId="grame">
    <w:name w:val="grame"/>
    <w:uiPriority w:val="99"/>
    <w:rsid w:val="00CB22B8"/>
  </w:style>
  <w:style w:type="character" w:customStyle="1" w:styleId="spelle">
    <w:name w:val="spelle"/>
    <w:uiPriority w:val="99"/>
    <w:rsid w:val="00CB22B8"/>
  </w:style>
  <w:style w:type="paragraph" w:styleId="a6">
    <w:name w:val="footer"/>
    <w:basedOn w:val="a"/>
    <w:link w:val="a7"/>
    <w:uiPriority w:val="99"/>
    <w:rsid w:val="006D4903"/>
    <w:pPr>
      <w:tabs>
        <w:tab w:val="center" w:pos="4677"/>
        <w:tab w:val="right" w:pos="9355"/>
      </w:tabs>
      <w:spacing w:before="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  <w:color w:val="000000"/>
      <w:sz w:val="20"/>
      <w:szCs w:val="20"/>
    </w:rPr>
  </w:style>
  <w:style w:type="character" w:styleId="a8">
    <w:name w:val="page number"/>
    <w:uiPriority w:val="99"/>
    <w:rsid w:val="006D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0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Недосекин А</vt:lpstr>
    </vt:vector>
  </TitlesOfParts>
  <Company>Дом</Company>
  <LinksUpToDate>false</LinksUpToDate>
  <CharactersWithSpaces>18576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Недосекин А</dc:title>
  <dc:subject/>
  <dc:creator>Ю</dc:creator>
  <cp:keywords/>
  <dc:description/>
  <cp:lastModifiedBy>admin</cp:lastModifiedBy>
  <cp:revision>2</cp:revision>
  <cp:lastPrinted>2004-11-17T14:18:00Z</cp:lastPrinted>
  <dcterms:created xsi:type="dcterms:W3CDTF">2014-03-12T19:06:00Z</dcterms:created>
  <dcterms:modified xsi:type="dcterms:W3CDTF">2014-03-12T19:06:00Z</dcterms:modified>
</cp:coreProperties>
</file>