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18" w:rsidRDefault="007A6C18">
      <w:pPr>
        <w:pStyle w:val="2"/>
        <w:jc w:val="right"/>
        <w:rPr>
          <w:b/>
        </w:rPr>
      </w:pPr>
      <w:r>
        <w:rPr>
          <w:b/>
          <w:sz w:val="20"/>
        </w:rPr>
        <w:t xml:space="preserve"> </w:t>
      </w:r>
      <w:r>
        <w:rPr>
          <w:b/>
        </w:rPr>
        <w:t xml:space="preserve">                                                        Министерство науки и высшего образования РК</w:t>
      </w:r>
    </w:p>
    <w:p w:rsidR="007A6C18" w:rsidRDefault="007A6C18">
      <w:pPr>
        <w:jc w:val="right"/>
        <w:rPr>
          <w:b/>
          <w:spacing w:val="20"/>
          <w:sz w:val="28"/>
        </w:rPr>
      </w:pPr>
      <w:r>
        <w:rPr>
          <w:b/>
          <w:spacing w:val="20"/>
          <w:sz w:val="28"/>
        </w:rPr>
        <w:t>Актаусский университет им. Академика Ш.Е.Есенова</w:t>
      </w:r>
    </w:p>
    <w:p w:rsidR="007A6C18" w:rsidRDefault="007A6C18">
      <w:pPr>
        <w:jc w:val="right"/>
        <w:rPr>
          <w:b/>
          <w:spacing w:val="20"/>
          <w:sz w:val="28"/>
          <w:lang w:val="en-US"/>
        </w:rPr>
      </w:pPr>
      <w:r>
        <w:rPr>
          <w:b/>
          <w:spacing w:val="20"/>
          <w:sz w:val="28"/>
          <w:lang w:val="en-US"/>
        </w:rPr>
        <w:t>Нефтехимический факультет.</w:t>
      </w:r>
    </w:p>
    <w:p w:rsidR="007A6C18" w:rsidRDefault="007A6C18">
      <w:pPr>
        <w:jc w:val="right"/>
        <w:rPr>
          <w:b/>
          <w:spacing w:val="20"/>
          <w:sz w:val="28"/>
          <w:lang w:val="en-US"/>
        </w:rPr>
      </w:pPr>
    </w:p>
    <w:p w:rsidR="007A6C18" w:rsidRDefault="007A6C18">
      <w:pPr>
        <w:jc w:val="right"/>
        <w:rPr>
          <w:b/>
          <w:spacing w:val="20"/>
          <w:sz w:val="28"/>
          <w:lang w:val="en-US"/>
        </w:rPr>
      </w:pPr>
    </w:p>
    <w:p w:rsidR="007A6C18" w:rsidRDefault="007A6C18">
      <w:pPr>
        <w:jc w:val="right"/>
        <w:rPr>
          <w:b/>
          <w:spacing w:val="20"/>
          <w:sz w:val="28"/>
          <w:lang w:val="en-US"/>
        </w:rPr>
      </w:pPr>
    </w:p>
    <w:p w:rsidR="007A6C18" w:rsidRDefault="007A6C18">
      <w:pPr>
        <w:jc w:val="right"/>
        <w:rPr>
          <w:b/>
          <w:spacing w:val="20"/>
          <w:sz w:val="28"/>
          <w:lang w:val="en-US"/>
        </w:rPr>
      </w:pPr>
    </w:p>
    <w:p w:rsidR="007A6C18" w:rsidRDefault="007A6C18">
      <w:pPr>
        <w:jc w:val="right"/>
        <w:rPr>
          <w:b/>
          <w:spacing w:val="20"/>
          <w:sz w:val="28"/>
          <w:lang w:val="en-US"/>
        </w:rPr>
      </w:pPr>
    </w:p>
    <w:p w:rsidR="007A6C18" w:rsidRDefault="007A6C18">
      <w:pPr>
        <w:jc w:val="right"/>
        <w:rPr>
          <w:b/>
          <w:spacing w:val="20"/>
          <w:sz w:val="28"/>
          <w:lang w:val="en-US"/>
        </w:rPr>
      </w:pPr>
    </w:p>
    <w:p w:rsidR="007A6C18" w:rsidRDefault="007A6C18">
      <w:pPr>
        <w:jc w:val="right"/>
        <w:rPr>
          <w:b/>
          <w:spacing w:val="20"/>
          <w:sz w:val="28"/>
          <w:lang w:val="en-US"/>
        </w:rPr>
      </w:pPr>
    </w:p>
    <w:p w:rsidR="007A6C18" w:rsidRDefault="007A6C18">
      <w:pPr>
        <w:pStyle w:val="5"/>
      </w:pPr>
      <w:r>
        <w:t>РЕФЕРАТ</w:t>
      </w:r>
    </w:p>
    <w:p w:rsidR="007A6C18" w:rsidRDefault="007A6C18">
      <w:pPr>
        <w:jc w:val="center"/>
        <w:rPr>
          <w:b/>
          <w:spacing w:val="20"/>
          <w:sz w:val="32"/>
        </w:rPr>
      </w:pPr>
    </w:p>
    <w:p w:rsidR="007A6C18" w:rsidRDefault="007A6C18">
      <w:pPr>
        <w:jc w:val="center"/>
        <w:rPr>
          <w:b/>
          <w:spacing w:val="20"/>
          <w:sz w:val="36"/>
          <w:lang w:val="en-US"/>
        </w:rPr>
      </w:pPr>
      <w:r>
        <w:rPr>
          <w:b/>
          <w:spacing w:val="20"/>
          <w:sz w:val="36"/>
        </w:rPr>
        <w:t>По  теме</w:t>
      </w:r>
      <w:r>
        <w:rPr>
          <w:b/>
          <w:spacing w:val="20"/>
          <w:sz w:val="36"/>
          <w:lang w:val="en-US"/>
        </w:rPr>
        <w:t>: “</w:t>
      </w:r>
      <w:r>
        <w:rPr>
          <w:b/>
          <w:sz w:val="32"/>
        </w:rPr>
        <w:t xml:space="preserve"> Организация экологического мониторинга и системы предотвращения загрязнения экосистемы Северного Каспия</w:t>
      </w:r>
      <w:r>
        <w:rPr>
          <w:b/>
          <w:spacing w:val="20"/>
          <w:sz w:val="36"/>
          <w:lang w:val="en-US"/>
        </w:rPr>
        <w:t xml:space="preserve"> ”.</w:t>
      </w:r>
    </w:p>
    <w:p w:rsidR="007A6C18" w:rsidRDefault="007A6C18">
      <w:pPr>
        <w:jc w:val="both"/>
        <w:rPr>
          <w:b/>
          <w:spacing w:val="20"/>
          <w:sz w:val="36"/>
        </w:rPr>
      </w:pPr>
    </w:p>
    <w:p w:rsidR="007A6C18" w:rsidRDefault="007A6C18">
      <w:pPr>
        <w:jc w:val="both"/>
        <w:rPr>
          <w:b/>
          <w:spacing w:val="20"/>
          <w:sz w:val="36"/>
          <w:lang w:val="en-US"/>
        </w:rPr>
      </w:pPr>
      <w:r>
        <w:rPr>
          <w:b/>
          <w:spacing w:val="20"/>
          <w:sz w:val="36"/>
        </w:rPr>
        <w:t xml:space="preserve">     </w:t>
      </w:r>
    </w:p>
    <w:p w:rsidR="007A6C18" w:rsidRDefault="007A6C18">
      <w:pPr>
        <w:jc w:val="both"/>
        <w:rPr>
          <w:b/>
          <w:spacing w:val="20"/>
          <w:sz w:val="36"/>
        </w:rPr>
      </w:pPr>
    </w:p>
    <w:p w:rsidR="007A6C18" w:rsidRDefault="007A6C18">
      <w:pPr>
        <w:jc w:val="both"/>
        <w:rPr>
          <w:b/>
          <w:spacing w:val="20"/>
          <w:sz w:val="36"/>
          <w:lang w:val="en-US"/>
        </w:rPr>
      </w:pPr>
    </w:p>
    <w:p w:rsidR="007A6C18" w:rsidRDefault="007A6C18">
      <w:pPr>
        <w:jc w:val="both"/>
        <w:rPr>
          <w:b/>
          <w:spacing w:val="20"/>
          <w:sz w:val="36"/>
          <w:lang w:val="en-US"/>
        </w:rPr>
      </w:pPr>
    </w:p>
    <w:p w:rsidR="007A6C18" w:rsidRDefault="007A6C18">
      <w:pPr>
        <w:jc w:val="both"/>
        <w:rPr>
          <w:b/>
          <w:spacing w:val="20"/>
          <w:sz w:val="36"/>
          <w:lang w:val="en-US"/>
        </w:rPr>
      </w:pPr>
    </w:p>
    <w:p w:rsidR="007A6C18" w:rsidRDefault="007A6C18">
      <w:pPr>
        <w:jc w:val="both"/>
        <w:rPr>
          <w:b/>
          <w:spacing w:val="20"/>
          <w:sz w:val="36"/>
          <w:lang w:val="en-US"/>
        </w:rPr>
      </w:pPr>
    </w:p>
    <w:p w:rsidR="007A6C18" w:rsidRDefault="007A6C18">
      <w:pPr>
        <w:jc w:val="both"/>
        <w:rPr>
          <w:b/>
          <w:spacing w:val="20"/>
          <w:sz w:val="36"/>
          <w:lang w:val="en-US"/>
        </w:rPr>
      </w:pPr>
    </w:p>
    <w:p w:rsidR="007A6C18" w:rsidRDefault="007A6C18">
      <w:pPr>
        <w:jc w:val="right"/>
        <w:rPr>
          <w:b/>
          <w:spacing w:val="20"/>
          <w:sz w:val="28"/>
          <w:lang w:val="en-US"/>
        </w:rPr>
      </w:pPr>
      <w:r>
        <w:rPr>
          <w:b/>
          <w:spacing w:val="20"/>
          <w:sz w:val="28"/>
        </w:rPr>
        <w:t>Подготовил</w:t>
      </w:r>
      <w:r>
        <w:rPr>
          <w:b/>
          <w:spacing w:val="20"/>
          <w:sz w:val="28"/>
          <w:lang w:val="en-US"/>
        </w:rPr>
        <w:t>:</w:t>
      </w:r>
    </w:p>
    <w:p w:rsidR="007A6C18" w:rsidRDefault="007A6C18">
      <w:pPr>
        <w:jc w:val="right"/>
        <w:rPr>
          <w:b/>
          <w:spacing w:val="20"/>
          <w:sz w:val="28"/>
        </w:rPr>
      </w:pPr>
      <w:r>
        <w:rPr>
          <w:b/>
          <w:spacing w:val="20"/>
          <w:sz w:val="28"/>
        </w:rPr>
        <w:t>Деменисова Н.И.</w:t>
      </w:r>
    </w:p>
    <w:p w:rsidR="007A6C18" w:rsidRDefault="007A6C18">
      <w:pPr>
        <w:jc w:val="right"/>
        <w:rPr>
          <w:b/>
          <w:spacing w:val="20"/>
          <w:sz w:val="28"/>
        </w:rPr>
      </w:pPr>
      <w:r>
        <w:rPr>
          <w:b/>
          <w:spacing w:val="20"/>
          <w:sz w:val="28"/>
        </w:rPr>
        <w:t>ПЭК 96-1</w:t>
      </w:r>
    </w:p>
    <w:p w:rsidR="007A6C18" w:rsidRDefault="007A6C18">
      <w:pPr>
        <w:jc w:val="right"/>
        <w:rPr>
          <w:b/>
          <w:spacing w:val="20"/>
          <w:sz w:val="28"/>
          <w:lang w:val="en-US"/>
        </w:rPr>
      </w:pPr>
      <w:r>
        <w:rPr>
          <w:b/>
          <w:spacing w:val="20"/>
          <w:sz w:val="28"/>
        </w:rPr>
        <w:t>Проверил</w:t>
      </w:r>
      <w:r>
        <w:rPr>
          <w:b/>
          <w:spacing w:val="20"/>
          <w:sz w:val="28"/>
          <w:lang w:val="en-US"/>
        </w:rPr>
        <w:t>:</w:t>
      </w:r>
    </w:p>
    <w:p w:rsidR="007A6C18" w:rsidRDefault="007A6C18">
      <w:pPr>
        <w:jc w:val="right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Кашанова </w:t>
      </w:r>
    </w:p>
    <w:p w:rsidR="007A6C18" w:rsidRDefault="007A6C18">
      <w:pPr>
        <w:jc w:val="center"/>
        <w:rPr>
          <w:b/>
          <w:spacing w:val="20"/>
          <w:sz w:val="28"/>
        </w:rPr>
      </w:pPr>
    </w:p>
    <w:p w:rsidR="007A6C18" w:rsidRDefault="007A6C18">
      <w:pPr>
        <w:jc w:val="center"/>
        <w:rPr>
          <w:b/>
          <w:spacing w:val="20"/>
          <w:sz w:val="28"/>
        </w:rPr>
      </w:pPr>
    </w:p>
    <w:p w:rsidR="007A6C18" w:rsidRDefault="007A6C18">
      <w:pPr>
        <w:jc w:val="center"/>
        <w:rPr>
          <w:b/>
          <w:spacing w:val="20"/>
          <w:sz w:val="28"/>
        </w:rPr>
      </w:pPr>
    </w:p>
    <w:p w:rsidR="007A6C18" w:rsidRDefault="007A6C18">
      <w:pPr>
        <w:jc w:val="center"/>
        <w:rPr>
          <w:b/>
          <w:spacing w:val="20"/>
          <w:sz w:val="28"/>
        </w:rPr>
      </w:pPr>
    </w:p>
    <w:p w:rsidR="007A6C18" w:rsidRDefault="007A6C18">
      <w:pPr>
        <w:jc w:val="center"/>
        <w:rPr>
          <w:b/>
          <w:spacing w:val="20"/>
          <w:sz w:val="28"/>
        </w:rPr>
      </w:pPr>
    </w:p>
    <w:p w:rsidR="007A6C18" w:rsidRDefault="007A6C18">
      <w:pPr>
        <w:jc w:val="center"/>
        <w:rPr>
          <w:b/>
          <w:spacing w:val="20"/>
          <w:sz w:val="28"/>
        </w:rPr>
      </w:pPr>
    </w:p>
    <w:p w:rsidR="007A6C18" w:rsidRDefault="007A6C18">
      <w:pPr>
        <w:jc w:val="center"/>
        <w:rPr>
          <w:b/>
          <w:spacing w:val="20"/>
          <w:sz w:val="28"/>
        </w:rPr>
      </w:pPr>
    </w:p>
    <w:p w:rsidR="007A6C18" w:rsidRDefault="007A6C18">
      <w:pPr>
        <w:jc w:val="center"/>
        <w:rPr>
          <w:b/>
          <w:spacing w:val="20"/>
          <w:sz w:val="28"/>
        </w:rPr>
      </w:pPr>
    </w:p>
    <w:p w:rsidR="007A6C18" w:rsidRDefault="007A6C18">
      <w:pPr>
        <w:jc w:val="center"/>
        <w:rPr>
          <w:b/>
          <w:spacing w:val="20"/>
          <w:sz w:val="28"/>
        </w:rPr>
      </w:pPr>
    </w:p>
    <w:p w:rsidR="007A6C18" w:rsidRDefault="007A6C18">
      <w:pPr>
        <w:jc w:val="center"/>
        <w:rPr>
          <w:b/>
          <w:spacing w:val="20"/>
          <w:sz w:val="28"/>
        </w:rPr>
      </w:pPr>
    </w:p>
    <w:p w:rsidR="007A6C18" w:rsidRDefault="007A6C18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Актау 1999г.</w:t>
      </w:r>
    </w:p>
    <w:p w:rsidR="007A6C18" w:rsidRDefault="007A6C18">
      <w:pPr>
        <w:pStyle w:val="H1"/>
        <w:jc w:val="both"/>
        <w:rPr>
          <w:kern w:val="0"/>
          <w:sz w:val="32"/>
        </w:rPr>
      </w:pPr>
    </w:p>
    <w:p w:rsidR="007A6C18" w:rsidRDefault="007A6C18">
      <w:pPr>
        <w:pStyle w:val="H1"/>
        <w:jc w:val="both"/>
        <w:rPr>
          <w:kern w:val="0"/>
          <w:sz w:val="32"/>
          <w:lang w:val="en-US"/>
        </w:rPr>
      </w:pPr>
      <w:r>
        <w:rPr>
          <w:kern w:val="0"/>
          <w:sz w:val="32"/>
        </w:rPr>
        <w:t>Содержание</w:t>
      </w:r>
      <w:r>
        <w:rPr>
          <w:kern w:val="0"/>
          <w:sz w:val="32"/>
          <w:lang w:val="en-US"/>
        </w:rPr>
        <w:t>:</w:t>
      </w:r>
    </w:p>
    <w:p w:rsidR="007A6C18" w:rsidRDefault="007A6C18">
      <w:pPr>
        <w:numPr>
          <w:ilvl w:val="0"/>
          <w:numId w:val="2"/>
        </w:numPr>
        <w:jc w:val="both"/>
        <w:rPr>
          <w:b/>
          <w:sz w:val="32"/>
        </w:rPr>
      </w:pPr>
      <w:r>
        <w:rPr>
          <w:b/>
          <w:sz w:val="32"/>
        </w:rPr>
        <w:t>Что такое экологический мониторинг.</w:t>
      </w:r>
    </w:p>
    <w:p w:rsidR="007A6C18" w:rsidRDefault="007A6C18">
      <w:pPr>
        <w:numPr>
          <w:ilvl w:val="0"/>
          <w:numId w:val="4"/>
        </w:numPr>
        <w:ind w:firstLine="66"/>
        <w:jc w:val="both"/>
        <w:rPr>
          <w:b/>
          <w:i/>
          <w:sz w:val="28"/>
        </w:rPr>
      </w:pPr>
      <w:r>
        <w:rPr>
          <w:b/>
          <w:i/>
          <w:sz w:val="28"/>
        </w:rPr>
        <w:t>Введение.</w:t>
      </w:r>
    </w:p>
    <w:p w:rsidR="007A6C18" w:rsidRDefault="007A6C18">
      <w:pPr>
        <w:numPr>
          <w:ilvl w:val="0"/>
          <w:numId w:val="4"/>
        </w:numPr>
        <w:ind w:firstLine="66"/>
        <w:jc w:val="both"/>
        <w:rPr>
          <w:b/>
          <w:i/>
          <w:sz w:val="28"/>
        </w:rPr>
      </w:pPr>
      <w:r>
        <w:rPr>
          <w:b/>
          <w:i/>
          <w:sz w:val="28"/>
        </w:rPr>
        <w:t>Задачи экологического контроля.</w:t>
      </w:r>
    </w:p>
    <w:p w:rsidR="007A6C18" w:rsidRDefault="007A6C18">
      <w:pPr>
        <w:numPr>
          <w:ilvl w:val="0"/>
          <w:numId w:val="4"/>
        </w:numPr>
        <w:ind w:firstLine="66"/>
        <w:jc w:val="both"/>
        <w:rPr>
          <w:b/>
          <w:i/>
          <w:sz w:val="28"/>
        </w:rPr>
      </w:pPr>
      <w:r>
        <w:rPr>
          <w:b/>
          <w:i/>
          <w:sz w:val="28"/>
        </w:rPr>
        <w:t>Классификация экологического мониторинга.</w:t>
      </w:r>
    </w:p>
    <w:p w:rsidR="007A6C18" w:rsidRDefault="007A6C18">
      <w:pPr>
        <w:numPr>
          <w:ilvl w:val="0"/>
          <w:numId w:val="4"/>
        </w:numPr>
        <w:ind w:firstLine="66"/>
        <w:jc w:val="both"/>
        <w:rPr>
          <w:b/>
          <w:sz w:val="32"/>
        </w:rPr>
      </w:pPr>
      <w:r>
        <w:rPr>
          <w:b/>
          <w:i/>
          <w:sz w:val="28"/>
        </w:rPr>
        <w:t>Глобальная система мониторинга окружающей среды</w:t>
      </w:r>
    </w:p>
    <w:p w:rsidR="007A6C18" w:rsidRDefault="007A6C18">
      <w:pPr>
        <w:numPr>
          <w:ilvl w:val="0"/>
          <w:numId w:val="2"/>
        </w:numPr>
        <w:jc w:val="both"/>
        <w:rPr>
          <w:b/>
          <w:sz w:val="32"/>
        </w:rPr>
      </w:pPr>
      <w:r>
        <w:rPr>
          <w:b/>
          <w:sz w:val="32"/>
        </w:rPr>
        <w:t>Организация экологического мониторинга и системы предотвращения загрязнения экосистемы Северного Каспия</w:t>
      </w:r>
    </w:p>
    <w:p w:rsidR="007A6C18" w:rsidRDefault="007A6C18">
      <w:pPr>
        <w:numPr>
          <w:ilvl w:val="0"/>
          <w:numId w:val="3"/>
        </w:numPr>
        <w:ind w:firstLine="66"/>
        <w:jc w:val="both"/>
        <w:rPr>
          <w:b/>
          <w:i/>
          <w:sz w:val="28"/>
        </w:rPr>
      </w:pPr>
      <w:r>
        <w:rPr>
          <w:b/>
          <w:i/>
          <w:sz w:val="28"/>
        </w:rPr>
        <w:t>Введение.</w:t>
      </w:r>
    </w:p>
    <w:p w:rsidR="007A6C18" w:rsidRDefault="007A6C18">
      <w:pPr>
        <w:numPr>
          <w:ilvl w:val="0"/>
          <w:numId w:val="3"/>
        </w:numPr>
        <w:ind w:firstLine="66"/>
        <w:jc w:val="both"/>
        <w:rPr>
          <w:b/>
          <w:i/>
          <w:sz w:val="28"/>
        </w:rPr>
      </w:pPr>
      <w:r>
        <w:rPr>
          <w:b/>
          <w:i/>
          <w:sz w:val="28"/>
        </w:rPr>
        <w:t>Описание проекта по предотвращению загрязнения Каспия.</w:t>
      </w:r>
    </w:p>
    <w:p w:rsidR="007A6C18" w:rsidRDefault="007A6C18">
      <w:pPr>
        <w:numPr>
          <w:ilvl w:val="0"/>
          <w:numId w:val="3"/>
        </w:numPr>
        <w:ind w:firstLine="66"/>
        <w:jc w:val="both"/>
        <w:rPr>
          <w:b/>
          <w:i/>
          <w:sz w:val="28"/>
        </w:rPr>
      </w:pPr>
      <w:r>
        <w:rPr>
          <w:b/>
          <w:i/>
          <w:sz w:val="28"/>
        </w:rPr>
        <w:t>Мероприятия необходимые для достижения результатов проекта.</w:t>
      </w:r>
    </w:p>
    <w:p w:rsidR="007A6C18" w:rsidRDefault="007A6C18">
      <w:pPr>
        <w:numPr>
          <w:ilvl w:val="0"/>
          <w:numId w:val="3"/>
        </w:numPr>
        <w:ind w:firstLine="66"/>
        <w:jc w:val="both"/>
        <w:rPr>
          <w:b/>
          <w:i/>
          <w:sz w:val="28"/>
        </w:rPr>
      </w:pPr>
      <w:r>
        <w:rPr>
          <w:b/>
          <w:i/>
          <w:sz w:val="28"/>
        </w:rPr>
        <w:t>Заключение.</w:t>
      </w:r>
    </w:p>
    <w:p w:rsidR="007A6C18" w:rsidRDefault="007A6C18">
      <w:pPr>
        <w:numPr>
          <w:ilvl w:val="0"/>
          <w:numId w:val="2"/>
        </w:numPr>
        <w:jc w:val="both"/>
        <w:rPr>
          <w:b/>
          <w:sz w:val="32"/>
        </w:rPr>
      </w:pPr>
      <w:r>
        <w:rPr>
          <w:b/>
          <w:sz w:val="32"/>
        </w:rPr>
        <w:t xml:space="preserve"> Список литературы.</w:t>
      </w:r>
    </w:p>
    <w:p w:rsidR="007A6C18" w:rsidRDefault="007A6C18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Times New Roman" w:hAnsi="Times New Roman"/>
          <w:snapToGrid/>
        </w:rPr>
      </w:pPr>
    </w:p>
    <w:p w:rsidR="007A6C18" w:rsidRDefault="007A6C18">
      <w:pPr>
        <w:pStyle w:val="H1"/>
        <w:jc w:val="both"/>
        <w:rPr>
          <w:kern w:val="0"/>
          <w:sz w:val="28"/>
        </w:rPr>
      </w:pPr>
    </w:p>
    <w:p w:rsidR="007A6C18" w:rsidRDefault="007A6C18"/>
    <w:p w:rsidR="007A6C18" w:rsidRDefault="007A6C18"/>
    <w:p w:rsidR="007A6C18" w:rsidRDefault="007A6C18">
      <w:pPr>
        <w:pStyle w:val="H1"/>
        <w:jc w:val="both"/>
        <w:rPr>
          <w:kern w:val="0"/>
          <w:sz w:val="28"/>
        </w:rPr>
      </w:pPr>
    </w:p>
    <w:p w:rsidR="007A6C18" w:rsidRDefault="007A6C18">
      <w:pPr>
        <w:pStyle w:val="H1"/>
        <w:jc w:val="both"/>
        <w:rPr>
          <w:kern w:val="0"/>
          <w:sz w:val="28"/>
        </w:rPr>
      </w:pPr>
    </w:p>
    <w:p w:rsidR="007A6C18" w:rsidRDefault="007A6C18">
      <w:pPr>
        <w:pStyle w:val="H1"/>
        <w:jc w:val="both"/>
        <w:rPr>
          <w:kern w:val="0"/>
          <w:sz w:val="28"/>
        </w:rPr>
      </w:pPr>
    </w:p>
    <w:p w:rsidR="007A6C18" w:rsidRDefault="007A6C18">
      <w:pPr>
        <w:pStyle w:val="H1"/>
        <w:jc w:val="both"/>
        <w:rPr>
          <w:kern w:val="0"/>
          <w:sz w:val="28"/>
        </w:rPr>
      </w:pPr>
    </w:p>
    <w:p w:rsidR="007A6C18" w:rsidRDefault="007A6C18">
      <w:pPr>
        <w:pStyle w:val="H1"/>
        <w:jc w:val="both"/>
        <w:rPr>
          <w:kern w:val="0"/>
          <w:sz w:val="28"/>
        </w:rPr>
      </w:pPr>
    </w:p>
    <w:p w:rsidR="007A6C18" w:rsidRDefault="007A6C18">
      <w:pPr>
        <w:pStyle w:val="H1"/>
        <w:jc w:val="both"/>
        <w:rPr>
          <w:kern w:val="0"/>
          <w:sz w:val="28"/>
        </w:rPr>
      </w:pPr>
    </w:p>
    <w:p w:rsidR="007A6C18" w:rsidRDefault="007A6C18">
      <w:pPr>
        <w:pStyle w:val="H1"/>
        <w:jc w:val="both"/>
        <w:rPr>
          <w:kern w:val="0"/>
          <w:sz w:val="28"/>
        </w:rPr>
      </w:pPr>
    </w:p>
    <w:p w:rsidR="007A6C18" w:rsidRDefault="007A6C18">
      <w:pPr>
        <w:pStyle w:val="H1"/>
        <w:jc w:val="both"/>
        <w:rPr>
          <w:kern w:val="0"/>
          <w:sz w:val="28"/>
        </w:rPr>
      </w:pPr>
    </w:p>
    <w:p w:rsidR="007A6C18" w:rsidRDefault="007A6C18">
      <w:pPr>
        <w:pStyle w:val="H1"/>
        <w:jc w:val="both"/>
        <w:rPr>
          <w:kern w:val="0"/>
          <w:sz w:val="28"/>
        </w:rPr>
      </w:pPr>
    </w:p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/>
    <w:p w:rsidR="007A6C18" w:rsidRDefault="007A6C18">
      <w:pPr>
        <w:pStyle w:val="H1"/>
        <w:jc w:val="both"/>
        <w:rPr>
          <w:kern w:val="0"/>
          <w:sz w:val="28"/>
        </w:rPr>
      </w:pPr>
      <w:r>
        <w:rPr>
          <w:kern w:val="0"/>
          <w:sz w:val="28"/>
        </w:rPr>
        <w:t>ЧТО ТАКОЕ ЭКОЛОГИЧЕСКИЙ МОНИТОРИНГ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A6C18">
        <w:trPr>
          <w:jc w:val="center"/>
        </w:trPr>
        <w:tc>
          <w:tcPr>
            <w:tcW w:w="4680" w:type="dxa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PRIVATE</w:instrText>
            </w:r>
            <w:r>
              <w:rPr>
                <w:sz w:val="28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Подлинно многие и почти бесчисленные наблюдения перемен и явлений, на воздухе бывающих, ...учинены от испытателей натуры и ...сообщены ученому свету, так чтобы нарочитой подлинности в предсказании погод уповать можно было... </w:t>
            </w:r>
            <w:r>
              <w:rPr>
                <w:sz w:val="28"/>
              </w:rPr>
              <w:br/>
              <w:t xml:space="preserve">М.В. Ломоносов. «Слово о явлениях воздушных, от электрической силы происходящих» </w:t>
            </w:r>
          </w:p>
          <w:p w:rsidR="007A6C18" w:rsidRDefault="007A6C18">
            <w:pPr>
              <w:jc w:val="both"/>
              <w:rPr>
                <w:sz w:val="28"/>
              </w:rPr>
            </w:pPr>
          </w:p>
        </w:tc>
      </w:tr>
    </w:tbl>
    <w:p w:rsidR="007A6C18" w:rsidRDefault="007A6C18">
      <w:pPr>
        <w:pStyle w:val="H2"/>
        <w:ind w:left="567"/>
        <w:jc w:val="both"/>
        <w:outlineLvl w:val="9"/>
        <w:rPr>
          <w:sz w:val="28"/>
        </w:rPr>
      </w:pPr>
      <w:r>
        <w:rPr>
          <w:sz w:val="28"/>
        </w:rPr>
        <w:t>Введение.</w:t>
      </w:r>
    </w:p>
    <w:p w:rsidR="007A6C18" w:rsidRDefault="007A6C18">
      <w:pPr>
        <w:jc w:val="both"/>
      </w:pPr>
    </w:p>
    <w:p w:rsidR="007A6C18" w:rsidRDefault="007A6C18">
      <w:pPr>
        <w:pStyle w:val="a3"/>
        <w:rPr>
          <w:spacing w:val="0"/>
        </w:rPr>
      </w:pPr>
      <w:r>
        <w:rPr>
          <w:spacing w:val="0"/>
        </w:rPr>
        <w:t xml:space="preserve">В различных видах научной и практической деятельности человека издавна применяется метод наблюдения — способ познания, основанный на относительно длительном целенаправленном и планомерном восприятии предметов и явлений окружающей действительности. Блестящие образцы организации наблюдений за природной средой описаны еще в первом веке нашей эры в "Естественной истории" Гая Секунда Плиния (старшего). Тридцать семь томов, содержавших сведения по астрономии, физике, географии, зоологии, ботанике, сельскому хозяйству, медицине, истории, служили наиболее полной энциклопедией знаний до эпохи средневековья. 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 xml:space="preserve">Много позднее, уже в XX веке, в науке возник термин </w:t>
      </w:r>
      <w:r>
        <w:rPr>
          <w:b/>
          <w:sz w:val="28"/>
        </w:rPr>
        <w:t>мониторинг</w:t>
      </w:r>
      <w:r>
        <w:rPr>
          <w:sz w:val="28"/>
        </w:rPr>
        <w:t xml:space="preserve"> для определения системы повторных целенаправленных наблюдений за одним или более элементами окружающей природной среды в пространстве и времени. </w:t>
      </w:r>
    </w:p>
    <w:p w:rsidR="007A6C18" w:rsidRDefault="007A6C18">
      <w:pPr>
        <w:pStyle w:val="a3"/>
        <w:rPr>
          <w:spacing w:val="0"/>
        </w:rPr>
      </w:pPr>
      <w:r>
        <w:rPr>
          <w:spacing w:val="0"/>
        </w:rPr>
        <w:t xml:space="preserve">В последние десятилетия общество все шире использует в своей деятельности сведения о состоянии природной среды. Эта информация нужна в повседневной жизни людей, при ведении хозяйства, в строительстве, при чрезвычайных обстоятельствах — для оповещения о надвигающихся опасных явлениях природы. Но изменения в состоянии окружающей среды происходят и под воздействием биосферных процессов, связанных с деятельностью человека. Определение вклада антропогенных изменений представляет собой специфическую задачу. 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ставшим уже каноническим определением,</w:t>
      </w:r>
      <w:r>
        <w:rPr>
          <w:b/>
          <w:sz w:val="28"/>
        </w:rPr>
        <w:t xml:space="preserve"> экологический мониторинг</w:t>
      </w:r>
      <w:r>
        <w:rPr>
          <w:sz w:val="28"/>
        </w:rPr>
        <w:t xml:space="preserve"> —</w:t>
      </w:r>
      <w:r>
        <w:rPr>
          <w:i/>
          <w:sz w:val="28"/>
        </w:rPr>
        <w:t xml:space="preserve"> информационная система наблюдений, оценки и прогноза изменений в состоянии окружающей среды, созданная с целью выделения антропогенной составляющей этих изменений на фоне природных процессов</w:t>
      </w:r>
      <w:r>
        <w:rPr>
          <w:sz w:val="28"/>
        </w:rPr>
        <w:t>.</w:t>
      </w:r>
    </w:p>
    <w:p w:rsidR="007A6C18" w:rsidRDefault="007A6C18">
      <w:pPr>
        <w:ind w:firstLine="567"/>
        <w:jc w:val="both"/>
        <w:rPr>
          <w:sz w:val="28"/>
        </w:rPr>
      </w:pP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7A6C18" w:rsidRDefault="007A6C18">
      <w:pPr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PRIVATE "TYPE=PICT;ALT="</w:instrText>
      </w:r>
      <w:r>
        <w:rPr>
          <w:sz w:val="28"/>
        </w:rPr>
        <w:fldChar w:fldCharType="end"/>
      </w:r>
    </w:p>
    <w:p w:rsidR="007A6C18" w:rsidRDefault="008344CB">
      <w:pPr>
        <w:jc w:val="both"/>
        <w:rPr>
          <w:i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.35pt;margin-top:51.05pt;width:348.75pt;height:188.25pt;z-index:251656704" o:allowincell="f">
            <v:imagedata r:id="rId7" o:title=""/>
            <w10:wrap type="topAndBottom"/>
          </v:shape>
        </w:pict>
      </w:r>
    </w:p>
    <w:p w:rsidR="007A6C18" w:rsidRDefault="007A6C18">
      <w:pPr>
        <w:jc w:val="both"/>
        <w:rPr>
          <w:i/>
          <w:sz w:val="28"/>
        </w:rPr>
      </w:pPr>
    </w:p>
    <w:p w:rsidR="007A6C18" w:rsidRDefault="007A6C18">
      <w:pPr>
        <w:jc w:val="both"/>
        <w:rPr>
          <w:i/>
          <w:sz w:val="28"/>
        </w:rPr>
      </w:pPr>
    </w:p>
    <w:p w:rsidR="007A6C18" w:rsidRDefault="007A6C18">
      <w:pPr>
        <w:jc w:val="both"/>
        <w:rPr>
          <w:i/>
          <w:sz w:val="28"/>
        </w:rPr>
      </w:pPr>
    </w:p>
    <w:p w:rsidR="007A6C18" w:rsidRDefault="007A6C18">
      <w:pPr>
        <w:jc w:val="both"/>
        <w:rPr>
          <w:i/>
          <w:sz w:val="28"/>
        </w:rPr>
      </w:pPr>
      <w:r>
        <w:rPr>
          <w:i/>
          <w:sz w:val="28"/>
        </w:rPr>
        <w:t>Рис.1. Блок-схема системы мониторинга .</w:t>
      </w:r>
    </w:p>
    <w:p w:rsidR="007A6C18" w:rsidRDefault="007A6C18">
      <w:pPr>
        <w:jc w:val="both"/>
        <w:rPr>
          <w:sz w:val="28"/>
        </w:rPr>
      </w:pPr>
    </w:p>
    <w:p w:rsidR="007A6C18" w:rsidRDefault="007A6C18">
      <w:pPr>
        <w:jc w:val="both"/>
        <w:rPr>
          <w:sz w:val="28"/>
        </w:rPr>
      </w:pPr>
      <w:r>
        <w:rPr>
          <w:sz w:val="28"/>
        </w:rPr>
        <w:t xml:space="preserve">Система экологического мониторинга должна накапливать, систематизировать и анализировать информацию: </w:t>
      </w:r>
    </w:p>
    <w:p w:rsidR="007A6C18" w:rsidRDefault="007A6C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 состоянии окружающей среды; </w:t>
      </w:r>
    </w:p>
    <w:p w:rsidR="007A6C18" w:rsidRDefault="007A6C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 причинах наблюдаемых и вероятных изменений состояния (т.e., об источниках и факторах воздействия); </w:t>
      </w:r>
    </w:p>
    <w:p w:rsidR="007A6C18" w:rsidRDefault="007A6C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 допустимости изменений и нагрузок на среду в целом; </w:t>
      </w:r>
    </w:p>
    <w:p w:rsidR="007A6C18" w:rsidRDefault="007A6C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 существующих резервах биосферы. </w:t>
      </w:r>
    </w:p>
    <w:p w:rsidR="007A6C18" w:rsidRDefault="007A6C18">
      <w:pPr>
        <w:pStyle w:val="a3"/>
        <w:rPr>
          <w:spacing w:val="0"/>
        </w:rPr>
      </w:pPr>
      <w:r>
        <w:rPr>
          <w:spacing w:val="0"/>
        </w:rPr>
        <w:t xml:space="preserve">Таким образом, в систему экологического мониторинга входят наблюдения за состоянием элементов биосферы и наблюдения за источниками и факторами антропогенного воздействия. </w:t>
      </w:r>
    </w:p>
    <w:p w:rsidR="007A6C18" w:rsidRDefault="007A6C18">
      <w:pPr>
        <w:pStyle w:val="a3"/>
        <w:rPr>
          <w:spacing w:val="0"/>
        </w:rPr>
      </w:pPr>
    </w:p>
    <w:p w:rsidR="007A6C18" w:rsidRDefault="007A6C18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Экологический мониторинг в РК определяется </w:t>
      </w:r>
      <w:r>
        <w:rPr>
          <w:b/>
          <w:sz w:val="28"/>
          <w:lang w:val="en-US"/>
        </w:rPr>
        <w:t xml:space="preserve">: </w:t>
      </w:r>
      <w:r>
        <w:rPr>
          <w:sz w:val="28"/>
        </w:rPr>
        <w:t xml:space="preserve">как </w:t>
      </w:r>
      <w:r>
        <w:rPr>
          <w:i/>
          <w:sz w:val="28"/>
        </w:rPr>
        <w:t>комплекс выполняемых по научно обоснованным программам наблюдений, оценок, прогнозов и разрабатываемых на их основе рекомендаций и вариантов управленческих решений, необходимых и достаточных для обеспечения управления состоянием окружающей природной среды и экологической безопасностью.</w:t>
      </w:r>
      <w:r>
        <w:rPr>
          <w:sz w:val="28"/>
        </w:rPr>
        <w:t xml:space="preserve"> </w:t>
      </w:r>
    </w:p>
    <w:p w:rsidR="007A6C18" w:rsidRDefault="007A6C18">
      <w:pPr>
        <w:jc w:val="both"/>
        <w:rPr>
          <w:sz w:val="28"/>
        </w:rPr>
      </w:pPr>
      <w:r>
        <w:rPr>
          <w:sz w:val="28"/>
        </w:rPr>
        <w:t xml:space="preserve">В соответствии с приведенными определениями и возложенными на систему функциями мониторинг включает три основных направления деятельности: </w:t>
      </w:r>
    </w:p>
    <w:p w:rsidR="007A6C18" w:rsidRDefault="007A6C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наблюдения за факторами воздействия и состоянием среды; </w:t>
      </w:r>
    </w:p>
    <w:p w:rsidR="007A6C18" w:rsidRDefault="007A6C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оценку фактического состояния среды; </w:t>
      </w:r>
    </w:p>
    <w:p w:rsidR="007A6C18" w:rsidRDefault="007A6C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прогноз состояния окружающей природной среды и оценку прогнозируемого состояния. 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Следует принять во внимание, что сама система мониторинга не включает деятельность по управлению качеством среды, но является источником необходимой для принятия экологически значимых решений информации. Термин</w:t>
      </w:r>
      <w:r>
        <w:rPr>
          <w:b/>
          <w:sz w:val="28"/>
        </w:rPr>
        <w:t xml:space="preserve"> контроль</w:t>
      </w:r>
      <w:r>
        <w:rPr>
          <w:sz w:val="28"/>
        </w:rPr>
        <w:t xml:space="preserve">, нередко употребляющийся в русскоязычной литературе для описания аналитического определения тех или иных параметров (например, контроль состава атмосферного воздуха, контроль качества воды водоемов), следует использовать только в отношении деятельности, предполагающей принятие активных регулирующих мер. </w:t>
      </w:r>
    </w:p>
    <w:p w:rsidR="007A6C18" w:rsidRDefault="007A6C18">
      <w:pPr>
        <w:jc w:val="both"/>
        <w:rPr>
          <w:sz w:val="28"/>
        </w:rPr>
      </w:pPr>
      <w:r>
        <w:rPr>
          <w:sz w:val="28"/>
        </w:rPr>
        <w:t xml:space="preserve">"Толковый словарь по охране природы" определяет экологический контроль следующим образом: 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b/>
          <w:sz w:val="28"/>
        </w:rPr>
        <w:t>Контроль экологический</w:t>
      </w:r>
      <w:r>
        <w:rPr>
          <w:sz w:val="28"/>
        </w:rPr>
        <w:t xml:space="preserve"> —</w:t>
      </w:r>
      <w:r>
        <w:rPr>
          <w:i/>
          <w:sz w:val="28"/>
        </w:rPr>
        <w:t xml:space="preserve"> деятельность государственных органов, предприятий и граждан по соблюдению экологических норм и правил. Различают государственный, производственный и общественный экологический контроль</w:t>
      </w:r>
      <w:r>
        <w:rPr>
          <w:sz w:val="28"/>
        </w:rPr>
        <w:t xml:space="preserve">. </w:t>
      </w:r>
    </w:p>
    <w:p w:rsidR="007A6C18" w:rsidRDefault="007A6C18">
      <w:pPr>
        <w:jc w:val="both"/>
        <w:rPr>
          <w:sz w:val="28"/>
        </w:rPr>
      </w:pPr>
    </w:p>
    <w:p w:rsidR="007A6C18" w:rsidRDefault="007A6C18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Задачи экологического контроля</w:t>
      </w:r>
      <w:r>
        <w:rPr>
          <w:sz w:val="28"/>
        </w:rPr>
        <w:t xml:space="preserve">. </w:t>
      </w:r>
    </w:p>
    <w:p w:rsidR="007A6C18" w:rsidRDefault="007A6C18">
      <w:pPr>
        <w:jc w:val="both"/>
        <w:rPr>
          <w:sz w:val="28"/>
        </w:rPr>
      </w:pPr>
    </w:p>
    <w:p w:rsidR="007A6C18" w:rsidRDefault="007A6C18">
      <w:pPr>
        <w:pStyle w:val="a3"/>
        <w:rPr>
          <w:spacing w:val="0"/>
        </w:rPr>
      </w:pPr>
      <w:r>
        <w:rPr>
          <w:spacing w:val="0"/>
        </w:rPr>
        <w:t xml:space="preserve">1. Экологический контроль ставит своими задачами: наблюдение за состоянием окружающей среды и ее изменением под влиянием хозяйственной и иной деятельности; проверку выполнения планов и мероприятий по охране природы, рациональному использованию природных ресурсов, оздоровлению окружающей природной среды, соблюдения требований природоохранительного законодательства и нормативов качества окружающей природной среды. </w:t>
      </w:r>
    </w:p>
    <w:p w:rsidR="007A6C18" w:rsidRDefault="007A6C18">
      <w:pPr>
        <w:pStyle w:val="a6"/>
        <w:ind w:firstLine="567"/>
        <w:rPr>
          <w:spacing w:val="0"/>
        </w:rPr>
      </w:pPr>
      <w:r>
        <w:rPr>
          <w:spacing w:val="0"/>
        </w:rPr>
        <w:t xml:space="preserve">2. Система экологического контроля состоит из государственной службы наблюдения за состоянием окружающей природной среды, государственного, производственного, общественного контроля. </w:t>
      </w:r>
    </w:p>
    <w:p w:rsidR="007A6C18" w:rsidRDefault="007A6C18">
      <w:pPr>
        <w:pStyle w:val="a3"/>
        <w:rPr>
          <w:spacing w:val="0"/>
        </w:rPr>
      </w:pPr>
      <w:r>
        <w:rPr>
          <w:spacing w:val="0"/>
        </w:rPr>
        <w:t xml:space="preserve">Таким образом, в природоохранительном законодательстве государственная служба мониторинга определена фактически как часть общей системы экологического контроля. </w:t>
      </w:r>
    </w:p>
    <w:p w:rsidR="007A6C18" w:rsidRDefault="007A6C18">
      <w:pPr>
        <w:jc w:val="both"/>
        <w:rPr>
          <w:sz w:val="28"/>
        </w:rPr>
      </w:pPr>
    </w:p>
    <w:p w:rsidR="007A6C18" w:rsidRDefault="007A6C18">
      <w:pPr>
        <w:pStyle w:val="H2"/>
        <w:jc w:val="both"/>
        <w:rPr>
          <w:sz w:val="28"/>
        </w:rPr>
      </w:pPr>
      <w:r>
        <w:rPr>
          <w:sz w:val="28"/>
        </w:rPr>
        <w:t>Классификация экологического мониторинга</w:t>
      </w:r>
    </w:p>
    <w:p w:rsidR="007A6C18" w:rsidRDefault="007A6C18">
      <w:pPr>
        <w:jc w:val="both"/>
      </w:pPr>
    </w:p>
    <w:p w:rsidR="007A6C18" w:rsidRDefault="007A6C18">
      <w:pPr>
        <w:ind w:firstLine="567"/>
        <w:rPr>
          <w:sz w:val="28"/>
        </w:rPr>
      </w:pPr>
      <w:r>
        <w:rPr>
          <w:sz w:val="28"/>
        </w:rPr>
        <w:t xml:space="preserve">Существуют различные подходы к классификации мониторинга (по характеру решаемых задач, по уровням организации, по природным средам, за которыми ведутся наблюдения). Отраженная на </w:t>
      </w:r>
      <w:r w:rsidRPr="001F02AC">
        <w:rPr>
          <w:color w:val="000000"/>
          <w:sz w:val="28"/>
        </w:rPr>
        <w:t>рис. 2</w:t>
      </w:r>
      <w:r>
        <w:rPr>
          <w:sz w:val="28"/>
        </w:rPr>
        <w:t xml:space="preserve"> классификация охватывает весь блок экологического мониторинга, наблюдения за меняющейся абиотической составляющей биосферы и ответной реакцией экосистем на эти изменения. Таким образом, экологический мониторинг включает как геофизические, так и биологические аспекты, что определяет широкий спектр методов и приемов исследований, используемых при его осуществлении.</w:t>
      </w:r>
      <w:r>
        <w:rPr>
          <w:sz w:val="28"/>
        </w:rPr>
        <w:br/>
      </w:r>
    </w:p>
    <w:p w:rsidR="007A6C18" w:rsidRDefault="007A6C18">
      <w:pPr>
        <w:jc w:val="both"/>
        <w:rPr>
          <w:i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PRIVATE "TYPE=PICT;ALT="</w:instrText>
      </w:r>
      <w:r>
        <w:rPr>
          <w:sz w:val="28"/>
        </w:rPr>
        <w:fldChar w:fldCharType="end"/>
      </w:r>
      <w:r>
        <w:t xml:space="preserve"> </w:t>
      </w:r>
    </w:p>
    <w:p w:rsidR="007A6C18" w:rsidRDefault="008344CB">
      <w:pPr>
        <w:jc w:val="both"/>
        <w:rPr>
          <w:i/>
          <w:sz w:val="28"/>
        </w:rPr>
      </w:pPr>
      <w:r>
        <w:pict>
          <v:shape id="_x0000_s1042" type="#_x0000_t75" style="position:absolute;left:0;text-align:left;margin-left:1.35pt;margin-top:1.45pt;width:375pt;height:204pt;z-index:251657728" o:allowincell="f">
            <v:imagedata r:id="rId8" o:title=""/>
            <w10:wrap type="topAndBottom"/>
          </v:shape>
        </w:pict>
      </w:r>
    </w:p>
    <w:p w:rsidR="007A6C18" w:rsidRDefault="007A6C18">
      <w:pPr>
        <w:jc w:val="both"/>
        <w:rPr>
          <w:i/>
          <w:sz w:val="28"/>
        </w:rPr>
      </w:pPr>
      <w:r>
        <w:rPr>
          <w:i/>
          <w:sz w:val="28"/>
        </w:rPr>
        <w:t>Рис.2. Классификация экологического мониторинга.</w:t>
      </w:r>
    </w:p>
    <w:p w:rsidR="007A6C18" w:rsidRDefault="007A6C18">
      <w:pPr>
        <w:jc w:val="both"/>
        <w:rPr>
          <w:sz w:val="28"/>
        </w:rPr>
      </w:pPr>
    </w:p>
    <w:p w:rsidR="007A6C18" w:rsidRDefault="007A6C18">
      <w:pPr>
        <w:pStyle w:val="H2"/>
        <w:jc w:val="both"/>
        <w:rPr>
          <w:sz w:val="28"/>
        </w:rPr>
      </w:pPr>
      <w:r>
        <w:rPr>
          <w:sz w:val="28"/>
        </w:rPr>
        <w:t>Глобальная система мониторинга окружающей среды</w:t>
      </w:r>
    </w:p>
    <w:p w:rsidR="007A6C18" w:rsidRDefault="007A6C18"/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 xml:space="preserve">Сегодня сеть наблюдений за источниками воздействия и за состоянием биосферы охватывает уже весь земной шар. Глобальная система мониторинга окружающей среды (ГСМОС) была создана совместными усилиями мирового сообщества (основные положения и цели программы были сформулированы в 1974 году на Первом межправительственном совещании по мониторингу). Первоочередной задачей была признана </w:t>
      </w:r>
      <w:r>
        <w:rPr>
          <w:b/>
          <w:i/>
          <w:sz w:val="28"/>
        </w:rPr>
        <w:t>организация мониторинга загрязнения окружающей природной среды и вызывающих его факторов воздействия.</w:t>
      </w:r>
      <w:r>
        <w:rPr>
          <w:sz w:val="28"/>
        </w:rPr>
        <w:t xml:space="preserve"> </w:t>
      </w:r>
    </w:p>
    <w:p w:rsidR="007A6C18" w:rsidRDefault="007A6C18">
      <w:pPr>
        <w:jc w:val="both"/>
        <w:rPr>
          <w:sz w:val="28"/>
        </w:rPr>
      </w:pPr>
      <w:r>
        <w:rPr>
          <w:sz w:val="28"/>
        </w:rPr>
        <w:t xml:space="preserve">Система мониторинга реализуется на нескольких уровнях, которым соответствуют специально разработанные программы: </w:t>
      </w:r>
    </w:p>
    <w:p w:rsidR="007A6C18" w:rsidRDefault="007A6C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импактном (изучение сильных воздействий локальном масштабе в— И);</w:t>
      </w:r>
    </w:p>
    <w:p w:rsidR="007A6C18" w:rsidRDefault="007A6C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региональном (проявление проблем миграции и трансформации загрязняющих веществ, совместного воздействия различных факторов, характерных для экономики региона — Р); </w:t>
      </w:r>
    </w:p>
    <w:p w:rsidR="007A6C18" w:rsidRDefault="007A6C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фоновом (на базе биосферных заповедников, где исключена всякая хозяйственная деятельность — Ф). </w:t>
      </w:r>
    </w:p>
    <w:p w:rsidR="007A6C18" w:rsidRDefault="007A6C18">
      <w:pPr>
        <w:jc w:val="both"/>
        <w:rPr>
          <w:sz w:val="28"/>
        </w:rPr>
      </w:pPr>
      <w:r>
        <w:rPr>
          <w:sz w:val="28"/>
        </w:rPr>
        <w:t xml:space="preserve">Таблица 1. Классификация загрязняющих веществ по классам приоритетности, принятая в системе ГСМОС </w:t>
      </w:r>
    </w:p>
    <w:p w:rsidR="007A6C18" w:rsidRDefault="007A6C18">
      <w:pPr>
        <w:jc w:val="both"/>
        <w:rPr>
          <w:sz w:val="28"/>
        </w:rPr>
      </w:pPr>
    </w:p>
    <w:p w:rsidR="007A6C18" w:rsidRDefault="007A6C18">
      <w:pPr>
        <w:jc w:val="both"/>
        <w:rPr>
          <w:sz w:val="28"/>
        </w:rPr>
      </w:pPr>
    </w:p>
    <w:p w:rsidR="007A6C18" w:rsidRDefault="007A6C18">
      <w:pPr>
        <w:jc w:val="both"/>
        <w:rPr>
          <w:sz w:val="28"/>
        </w:rPr>
      </w:pPr>
    </w:p>
    <w:p w:rsidR="007A6C18" w:rsidRDefault="007A6C18">
      <w:pPr>
        <w:jc w:val="both"/>
        <w:rPr>
          <w:sz w:val="28"/>
        </w:rPr>
      </w:pPr>
    </w:p>
    <w:p w:rsidR="007A6C18" w:rsidRDefault="007A6C18">
      <w:pPr>
        <w:jc w:val="both"/>
        <w:rPr>
          <w:sz w:val="28"/>
        </w:rPr>
      </w:pPr>
    </w:p>
    <w:tbl>
      <w:tblPr>
        <w:tblW w:w="0" w:type="auto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4242"/>
        <w:gridCol w:w="2098"/>
        <w:gridCol w:w="2313"/>
      </w:tblGrid>
      <w:tr w:rsidR="007A6C18">
        <w:trPr>
          <w:jc w:val="center"/>
        </w:trPr>
        <w:tc>
          <w:tcPr>
            <w:tcW w:w="705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PRIVATE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Kласс </w:t>
            </w: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Загрязняющее вещество 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программы</w:t>
            </w:r>
            <w:r>
              <w:rPr>
                <w:sz w:val="28"/>
              </w:rPr>
              <w:br/>
              <w:t>(уровень мониторинга)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 w:val="restart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Диоксид серы, взвешенные частицы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Воздух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И,Р,Ф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Радионуклиды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Пища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И, Р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 w:val="restart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Озон</w:t>
            </w:r>
            <w:r w:rsidRPr="001F02AC">
              <w:rPr>
                <w:sz w:val="28"/>
                <w:vertAlign w:val="superscript"/>
              </w:rPr>
              <w:t>1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Воздух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И(тропосфера),</w:t>
            </w:r>
            <w:r>
              <w:rPr>
                <w:sz w:val="28"/>
              </w:rPr>
              <w:br/>
              <w:t>Ф (стратосфера)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Хлорорганические соединения и диоксины 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Биота, человек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И,Р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Кадмий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Пища, вода, человек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 w:val="restart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Нитраты, нитриты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Вода, пища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Оксиды азота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Воздух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 w:val="restart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Ртуть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Пища, вода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И, Р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Свинец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Воздух, пища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Диоксид углерода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Воздух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 w:val="restart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Оксид углерода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Воздух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Углеводороды нефти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Морская вода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Р, Ф</w:t>
            </w:r>
          </w:p>
        </w:tc>
      </w:tr>
      <w:tr w:rsidR="007A6C18">
        <w:trPr>
          <w:jc w:val="center"/>
        </w:trPr>
        <w:tc>
          <w:tcPr>
            <w:tcW w:w="705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Фториды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Пресная вода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 w:val="restart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Асбест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Воздух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Мышьяк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Питьевая сода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 w:val="restart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Микробиологические загрязнения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Пища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И, Р</w:t>
            </w:r>
          </w:p>
        </w:tc>
      </w:tr>
      <w:tr w:rsidR="007A6C18">
        <w:trPr>
          <w:cantSplit/>
          <w:jc w:val="center"/>
        </w:trPr>
        <w:tc>
          <w:tcPr>
            <w:tcW w:w="705" w:type="dxa"/>
            <w:vMerge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</w:p>
        </w:tc>
        <w:tc>
          <w:tcPr>
            <w:tcW w:w="4242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Реакционноспособные загрязнения</w:t>
            </w:r>
          </w:p>
        </w:tc>
        <w:tc>
          <w:tcPr>
            <w:tcW w:w="2098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Воздух</w:t>
            </w:r>
          </w:p>
        </w:tc>
        <w:tc>
          <w:tcPr>
            <w:tcW w:w="2313" w:type="dxa"/>
            <w:shd w:val="clear" w:color="FFFFFF" w:fill="auto"/>
            <w:vAlign w:val="center"/>
          </w:tcPr>
          <w:p w:rsidR="007A6C18" w:rsidRDefault="007A6C18">
            <w:pPr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</w:tbl>
    <w:p w:rsidR="007A6C18" w:rsidRDefault="007A6C18">
      <w:pPr>
        <w:jc w:val="both"/>
        <w:rPr>
          <w:sz w:val="28"/>
        </w:rPr>
      </w:pPr>
    </w:p>
    <w:p w:rsidR="007A6C18" w:rsidRDefault="007A6C18">
      <w:pPr>
        <w:pStyle w:val="a3"/>
        <w:rPr>
          <w:spacing w:val="0"/>
        </w:rPr>
      </w:pPr>
      <w:r>
        <w:rPr>
          <w:spacing w:val="0"/>
        </w:rPr>
        <w:t xml:space="preserve">Программа импактного мониторинга может быть направлена, например, на изучение сбросов или выбросов конкретного предприятия. Предметом регионального мониторинга, как следует из самого его названия, является состояние окружающей среды в пределах того или иного региона. Наконец, фоновый мониторинг, осуществляемый в рамках международной программы "Человек и биосфера", имеет целью зафиксировать фоновое состояние окружающей среды, что необходимо для дальнейших оценок уровней антропогенного воздействия. 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 xml:space="preserve">Программы наблюдений формируются по принципу выбора приоритетных (подлежащих первоочередному определению) загрязняющих веществ и интегральных (отражающих группу явлений, процессов или веществ) характеристик. Классы приоритетности загрязняющих веществ, установленные экспертным путем и принятые в системе ГСМОС, приведены в </w:t>
      </w:r>
      <w:r w:rsidRPr="001F02AC">
        <w:rPr>
          <w:color w:val="000000"/>
          <w:sz w:val="28"/>
        </w:rPr>
        <w:t>таблице 1</w:t>
      </w:r>
      <w:r>
        <w:rPr>
          <w:sz w:val="28"/>
        </w:rPr>
        <w:t xml:space="preserve">. </w:t>
      </w:r>
    </w:p>
    <w:p w:rsidR="007A6C18" w:rsidRDefault="007A6C18">
      <w:pPr>
        <w:pStyle w:val="a3"/>
        <w:rPr>
          <w:spacing w:val="0"/>
        </w:rPr>
      </w:pPr>
      <w:r>
        <w:rPr>
          <w:spacing w:val="0"/>
        </w:rPr>
        <w:t xml:space="preserve">Определение приоритетов при организации систем мониторинга зависит от цели и задач конкретных программ: так, в территориальном масштабе приоритет государственных систем мониторинга отдан городам, источникам питьевой воды и местам нерестилищ рыб; в отношении сред наблюдений первоочередного внимания заслуживают атмосферный воздух и вода пресных водоемов. Приоритетность ингредиентов определяется с учетом критериев, отражающих токсические свойства загрязняющих веществ, объемы их поступления в окружающую среду, особенности их трансформации, частоту и величину воздействия на человека и биоту, возможность организации измерений и другие факторы. </w:t>
      </w:r>
    </w:p>
    <w:p w:rsidR="007A6C18" w:rsidRDefault="007A6C18">
      <w:pPr>
        <w:pStyle w:val="a3"/>
        <w:rPr>
          <w:spacing w:val="0"/>
        </w:rPr>
      </w:pPr>
      <w:r>
        <w:rPr>
          <w:spacing w:val="0"/>
        </w:rPr>
        <w:t>Отметим, что приоритеты, выбранные общественными организациями при разработке программ мониторинга, могут быть сформулированы иным образом, не повторяющим ранжирование, принятое в ГСМОС. Это решение вполне оправданно, так как региональные и локальные приоритеты тесно связаны с экономикой региона, с местными источниками воздействия. Наконец, программа общественного мониторинга может быть связана с совершенно конкретной проблемой, которая и будет определять приоритеты в данном случае.</w:t>
      </w:r>
    </w:p>
    <w:p w:rsidR="007A6C18" w:rsidRDefault="007A6C18">
      <w:pPr>
        <w:jc w:val="both"/>
      </w:pPr>
    </w:p>
    <w:p w:rsidR="007A6C18" w:rsidRDefault="007A6C18">
      <w:pPr>
        <w:pStyle w:val="H2"/>
        <w:jc w:val="both"/>
      </w:pPr>
      <w:r>
        <w:t>Государственный экологический мониторинг</w:t>
      </w:r>
    </w:p>
    <w:p w:rsidR="007A6C18" w:rsidRDefault="007A6C18">
      <w:pPr>
        <w:pStyle w:val="H3"/>
        <w:jc w:val="both"/>
        <w:rPr>
          <w:i/>
        </w:rPr>
      </w:pPr>
      <w:r>
        <w:rPr>
          <w:i/>
        </w:rPr>
        <w:t>Структура государственного экологического мониторинга, распределение ответственности</w:t>
      </w:r>
    </w:p>
    <w:p w:rsidR="007A6C18" w:rsidRDefault="007A6C18">
      <w:pPr>
        <w:pStyle w:val="a6"/>
        <w:ind w:firstLine="567"/>
        <w:rPr>
          <w:spacing w:val="0"/>
        </w:rPr>
      </w:pPr>
      <w:r>
        <w:rPr>
          <w:spacing w:val="0"/>
        </w:rPr>
        <w:t xml:space="preserve">ГСМОС основывается на системах национального мониторинга, которые функционируют в различных государствах согласно как международным требованиям, так и специфическим подходам, сложившимся исторически или обусловленным характером наиболее остро стоящих экологических проблем. Международные требования, которым должны удовлетворять национальные системы-участники ГСМОС, включают единые принципы разработки программ (с учетом приоритетных факторов воздействия), обязательность наблюдений за объектами, имеющими глобальную значимость, передачу информации в Центр ГСМОС. </w:t>
      </w:r>
    </w:p>
    <w:p w:rsidR="007A6C18" w:rsidRDefault="007A6C18">
      <w:pPr>
        <w:pStyle w:val="a3"/>
        <w:rPr>
          <w:spacing w:val="0"/>
        </w:rPr>
      </w:pPr>
      <w:r>
        <w:rPr>
          <w:spacing w:val="0"/>
        </w:rPr>
        <w:t xml:space="preserve">На территории СССР в 70-е годы на базе станций гидрометeослужбы была организована Общегосударственная служба наблюдений и контроля состояния окружающей среды (ОГСНК), построенная по иерархическому принципу. </w:t>
      </w:r>
    </w:p>
    <w:p w:rsidR="007A6C18" w:rsidRDefault="007A6C18">
      <w:pPr>
        <w:jc w:val="both"/>
        <w:rPr>
          <w:sz w:val="28"/>
        </w:rPr>
      </w:pPr>
    </w:p>
    <w:p w:rsidR="007A6C18" w:rsidRDefault="007A6C18">
      <w:pPr>
        <w:jc w:val="both"/>
        <w:rPr>
          <w:sz w:val="28"/>
        </w:rPr>
      </w:pPr>
    </w:p>
    <w:p w:rsidR="007A6C18" w:rsidRDefault="007A6C18">
      <w:pPr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PRIVATE "TYPE=PICT;ALT="</w:instrText>
      </w:r>
      <w:r>
        <w:rPr>
          <w:sz w:val="28"/>
        </w:rPr>
        <w:fldChar w:fldCharType="end"/>
      </w:r>
    </w:p>
    <w:p w:rsidR="007A6C18" w:rsidRDefault="008344CB">
      <w:pPr>
        <w:jc w:val="both"/>
        <w:rPr>
          <w:i/>
          <w:sz w:val="28"/>
        </w:rPr>
      </w:pPr>
      <w:r>
        <w:pict>
          <v:shape id="_x0000_s1043" type="#_x0000_t75" style="position:absolute;left:0;text-align:left;margin-left:4.2pt;margin-top:-6.55pt;width:135pt;height:138.75pt;z-index:251658752" o:allowincell="f">
            <v:imagedata r:id="rId9" o:title=""/>
            <w10:wrap type="topAndBottom"/>
          </v:shape>
        </w:pict>
      </w:r>
    </w:p>
    <w:p w:rsidR="007A6C18" w:rsidRDefault="007A6C18">
      <w:pPr>
        <w:jc w:val="both"/>
        <w:rPr>
          <w:sz w:val="28"/>
        </w:rPr>
      </w:pPr>
      <w:r>
        <w:rPr>
          <w:i/>
          <w:sz w:val="28"/>
        </w:rPr>
        <w:t>Рис.3. Поток информации в иерархической системе ОГСНК</w:t>
      </w:r>
    </w:p>
    <w:p w:rsidR="007A6C18" w:rsidRDefault="007A6C18">
      <w:pPr>
        <w:jc w:val="both"/>
        <w:rPr>
          <w:sz w:val="28"/>
        </w:rPr>
      </w:pPr>
      <w:r>
        <w:rPr>
          <w:sz w:val="28"/>
        </w:rPr>
        <w:t xml:space="preserve">В обработанном и систематизированном виде полученная информация представлена в кадастровых изданиях, таких как "Ежегодные данные о составе и качестве поверхностных вод суши" (по гидрохимическим и гидробиологическим показателям), "Ежегодник состояния атмосферы в городах и промышленных центрах" и др. До конца 80-х годов все кадастровые издания имели гриф "Для служебного пользования", затем в течение 3-5 лет были открытыми и доступными в центральных библиотеках. К настоящему времени массивные сборники типа "Ежегодных данных..." в библиотеки практически не поступают. Некоторые материалы можно получить по сети интернет. </w:t>
      </w:r>
    </w:p>
    <w:p w:rsidR="007A6C18" w:rsidRDefault="007A6C18">
      <w:pPr>
        <w:jc w:val="both"/>
      </w:pPr>
    </w:p>
    <w:p w:rsidR="007A6C18" w:rsidRDefault="007A6C18">
      <w:pPr>
        <w:jc w:val="both"/>
      </w:pPr>
    </w:p>
    <w:p w:rsidR="007A6C18" w:rsidRDefault="007A6C18">
      <w:pPr>
        <w:pStyle w:val="20"/>
      </w:pPr>
      <w:r>
        <w:t>Организация экологического мониторинга и системы предотвращения загрязнения экосистемы Северного Каспия</w:t>
      </w:r>
    </w:p>
    <w:p w:rsidR="007A6C18" w:rsidRDefault="007A6C18">
      <w:pPr>
        <w:pStyle w:val="20"/>
      </w:pPr>
    </w:p>
    <w:p w:rsidR="007A6C18" w:rsidRDefault="007A6C18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Введение.</w:t>
      </w:r>
    </w:p>
    <w:p w:rsidR="007A6C18" w:rsidRDefault="007A6C18">
      <w:pPr>
        <w:ind w:firstLine="567"/>
        <w:jc w:val="both"/>
        <w:rPr>
          <w:b/>
          <w:i/>
          <w:sz w:val="28"/>
        </w:rPr>
      </w:pP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Наш реферат был бы не полным, если бы мы не затронули экологических проблем непосредственно связанных с нашим регионом (в частности загрязнение Каспийского моря).</w:t>
      </w:r>
    </w:p>
    <w:p w:rsidR="007A6C18" w:rsidRDefault="007A6C18">
      <w:pPr>
        <w:ind w:firstLine="567"/>
        <w:jc w:val="both"/>
        <w:rPr>
          <w:b/>
          <w:sz w:val="28"/>
          <w:u w:val="single"/>
        </w:rPr>
      </w:pPr>
      <w:r>
        <w:rPr>
          <w:sz w:val="28"/>
        </w:rPr>
        <w:t>Разработка и внедрение системы предотвращения загрязнения экосистемы Северного Каспия от предстоящих широкомасштабных нефтяных операций на море, является приоритетной в нашем регионе.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Каспийское море, являющееся самым крупным из замкнутых водоемов мира, представляет очень чувствительную экосистему. В этом водоеме сосредоточено более 90 % видов осетровых рыб и черной икры от мировых запасов и добычи и большое многообразие птиц и эндимичных водных животных.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За последние десятилетия под воздействием антропогенных и биохимических факторов резко ухудшилось состояние экосистем в целом, и особенно северо-восточной части моря и реки Урал. За полтора десятилетия уловы севрюги, основного промыслового вида р. Урал, по биомассе и по численности снизились почти в 10 раз.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Проведенными исследованиями рыбохозяйственных институтов доказано, что под влиянием хронического загрязнения у промысловых рыб наблюдаются отклонения в жизнедеятельности важных систем организма, отвечающих за иммунорезистентность, постоянство внутренней Среды, репродуктивную функцию. Так, у осетровых наблюдается расслоение мышечной ткани, ослабление оболочек икры, патология гематогенеза, жировая дистрофия печени.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 xml:space="preserve">Создается реальная угроза потери маточных стад, что в ближайшей перспективе может привести к исчезновению осетровых, как вида. В то же время неизвестно, сколько поражено рыб. 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В целом, экосистема Каспия оценивается как предкризисная и может ухудшиться в результате крупномасштабного вторжения в природную среду из-за планируемого освоения мелководий северо-восточной части для добычи нефти.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Загрязненность Среды обитания отразилась и на состоянии водоплавающих птиц. Начиная с 1981 года, ежегодно на морском побережье к востоку от устья Урала наблюдается массовая гибель птиц. Трупы птиц обнаруживались к востоку от низовья Урала до залива Комсомолец, т.е. на протяжении 300-350 км.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В мае 1988 года только ветром западного направления было выброшено на берег 250-300 тыс. птиц 27 видов, а с учетом отнесенных в открытое море и прибитых к тростниковым зарослям эта цифра увеличилась бы до порядка миллиона. Среди них преобладают морские и речные утки, лысуха, кулики и чайки. Подобная тенденция имеет место и в настоящее время.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Особую озабоченность в рамках нефтегазового комплекса вызывает состояние здоровья населения, четыре поколения которого постоянно проживают в зоне активного загрязнения атмосферы, почвы и водных ресурсов нефтепродуктами. Имеются ряд исследований, свидетельствующих о связи ряда заболеваний с нефтяными загрязнениями.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Заболеваемость крови и кроветворных органов в этих регионах в 2-4 раза выше, чем по республике.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Все эти факты свидетельствуют об отсутствии должного контроля за состоянием экосистем. Требуется организация экологического мониторинга и системы предотвращения загрязнения.</w:t>
      </w: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В этих условиях предлагаемый проект имеет актуальное значение.</w:t>
      </w:r>
    </w:p>
    <w:p w:rsidR="007A6C18" w:rsidRDefault="007A6C18">
      <w:pPr>
        <w:ind w:firstLine="567"/>
        <w:jc w:val="both"/>
        <w:rPr>
          <w:b/>
          <w:sz w:val="28"/>
          <w:u w:val="single"/>
        </w:rPr>
      </w:pPr>
    </w:p>
    <w:p w:rsidR="007A6C18" w:rsidRDefault="007A6C18">
      <w:pPr>
        <w:pStyle w:val="1"/>
      </w:pPr>
      <w:r>
        <w:t>Описание проекта по предотвращению загрязнения Каспия.</w:t>
      </w:r>
    </w:p>
    <w:p w:rsidR="007A6C18" w:rsidRDefault="007A6C18">
      <w:pPr>
        <w:jc w:val="both"/>
        <w:rPr>
          <w:b/>
          <w:sz w:val="28"/>
          <w:u w:val="single"/>
        </w:rPr>
      </w:pP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Проект реализуется в Атырауской и Мангистауской областях Республики Казахстан. Предусматривается осуществить изучение современного состояния и дать оценку влияния загрязнений действующего нефтегазового комплекса на биоресурсы и здоровье проживающего населения в прибрежной и затопленной зоне Северо-Восточной заповедной части Каспийского моря. Намечено разработать направления действий по снижению риска нефтезагрязнений в особо чувствительной экологической системе, каким является Каспий. Создать специальную службу предотвращения и ликвидации загрязнения от нефтегазового комплекса, с учетом международной практики организации структур при разведке, добыче нефти и газа в замкнутых водоемах.</w:t>
      </w:r>
    </w:p>
    <w:p w:rsidR="007A6C18" w:rsidRDefault="007A6C18">
      <w:pPr>
        <w:ind w:left="720" w:firstLine="567"/>
        <w:jc w:val="both"/>
        <w:rPr>
          <w:sz w:val="28"/>
        </w:rPr>
      </w:pPr>
    </w:p>
    <w:p w:rsidR="007A6C18" w:rsidRDefault="007A6C18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Мероприятия необходимые для достижения результатов проекта.</w:t>
      </w:r>
    </w:p>
    <w:p w:rsidR="007A6C18" w:rsidRDefault="007A6C18">
      <w:pPr>
        <w:ind w:firstLine="567"/>
        <w:jc w:val="both"/>
        <w:rPr>
          <w:sz w:val="28"/>
        </w:rPr>
      </w:pPr>
    </w:p>
    <w:p w:rsidR="007A6C18" w:rsidRDefault="007A6C18">
      <w:pPr>
        <w:ind w:firstLine="567"/>
        <w:jc w:val="both"/>
        <w:rPr>
          <w:sz w:val="28"/>
        </w:rPr>
      </w:pPr>
      <w:r>
        <w:rPr>
          <w:sz w:val="28"/>
        </w:rPr>
        <w:t>Для достижения цели и результатов необходимо выполнить следующее: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-провести инвентаризацию нефтезагрязнений;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-изучить международный опыт мониторинга в замкнутых водоемах;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-оборудовать центр мониторинга и контроля;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-подготовить и обучить специалистов;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-провести анализ выявленных источников опасных нефтезагрязнений;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-провести полевые морские исследования;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-составить отчет о состоянии осетровых рыб, тюленей и кормовой базы Северного Каспия;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-выработать рекомендации по сохранению биоразнообразия;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-изучить международную практику проведения нефтяных операций на море и охраны окружающей среды;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-подготовить проект Положения о проведении нефтяных операций с учетом сохранения биоресурсов и передать в соответствующие инстанции;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-создать медицинскую группу по обследованию населения и организовать функционирование диагностического центра;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-оснастить медоборудованием диагностический центр;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-установить влияние нефтезгрязнений на заболеваемость населения;</w:t>
      </w:r>
    </w:p>
    <w:p w:rsidR="007A6C18" w:rsidRDefault="007A6C18">
      <w:pPr>
        <w:ind w:left="720" w:firstLine="567"/>
        <w:jc w:val="both"/>
        <w:rPr>
          <w:sz w:val="28"/>
        </w:rPr>
      </w:pPr>
      <w:r>
        <w:rPr>
          <w:sz w:val="28"/>
        </w:rPr>
        <w:t>-осуществить профилактическое лечение.</w:t>
      </w:r>
    </w:p>
    <w:p w:rsidR="007A6C18" w:rsidRDefault="007A6C18">
      <w:pPr>
        <w:ind w:left="720" w:firstLine="567"/>
        <w:jc w:val="both"/>
        <w:rPr>
          <w:sz w:val="28"/>
        </w:rPr>
      </w:pPr>
    </w:p>
    <w:p w:rsidR="007A6C18" w:rsidRDefault="007A6C18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Заключение.</w:t>
      </w:r>
    </w:p>
    <w:p w:rsidR="007A6C18" w:rsidRDefault="007A6C18">
      <w:pPr>
        <w:ind w:firstLine="567"/>
        <w:jc w:val="both"/>
        <w:rPr>
          <w:b/>
          <w:i/>
          <w:sz w:val="28"/>
        </w:rPr>
      </w:pPr>
    </w:p>
    <w:p w:rsidR="007A6C18" w:rsidRDefault="007A6C18">
      <w:pPr>
        <w:ind w:firstLine="567"/>
        <w:jc w:val="both"/>
        <w:rPr>
          <w:b/>
          <w:sz w:val="28"/>
          <w:u w:val="single"/>
        </w:rPr>
      </w:pPr>
      <w:r>
        <w:rPr>
          <w:sz w:val="28"/>
        </w:rPr>
        <w:t xml:space="preserve">Экологическая безопасность трактуется как составная часть общей безопасности жизнедеятельности. Она должна рассматриваться на глобальном, региональном и локальном уровнях. На современном этапе социально-экономического развития стран СНГ, в условиях обостряющегося экологического кризиса, спада экономики, уровня жизни населения и возникновения экологических рисков, обеспечение экологической безопасности становится актуальной проблемой государств. Обеспечение экологической безопасности, развитие экологического мониторинга является приоритетной проблемой каждого государства, как и обеспечение его военной и экономической безопасности. </w:t>
      </w:r>
      <w:r>
        <w:rPr>
          <w:sz w:val="28"/>
        </w:rPr>
        <w:br/>
      </w:r>
      <w:r>
        <w:rPr>
          <w:b/>
          <w:sz w:val="28"/>
          <w:u w:val="single"/>
        </w:rPr>
        <w:t xml:space="preserve"> </w:t>
      </w:r>
    </w:p>
    <w:p w:rsidR="007A6C18" w:rsidRDefault="007A6C18">
      <w:pPr>
        <w:jc w:val="both"/>
        <w:rPr>
          <w:sz w:val="24"/>
        </w:rPr>
      </w:pPr>
    </w:p>
    <w:p w:rsidR="007A6C18" w:rsidRDefault="007A6C18">
      <w:pPr>
        <w:jc w:val="both"/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</w:rPr>
      </w:pPr>
    </w:p>
    <w:p w:rsidR="007A6C18" w:rsidRDefault="007A6C18">
      <w:pPr>
        <w:jc w:val="both"/>
        <w:rPr>
          <w:b/>
          <w:i/>
          <w:sz w:val="28"/>
          <w:lang w:val="en-US"/>
        </w:rPr>
      </w:pPr>
      <w:r>
        <w:rPr>
          <w:b/>
          <w:i/>
          <w:sz w:val="28"/>
        </w:rPr>
        <w:t>Список использованной литературы</w:t>
      </w:r>
      <w:r>
        <w:rPr>
          <w:b/>
          <w:i/>
          <w:sz w:val="28"/>
          <w:lang w:val="en-US"/>
        </w:rPr>
        <w:t>:</w:t>
      </w:r>
    </w:p>
    <w:p w:rsidR="007A6C18" w:rsidRDefault="007A6C18">
      <w:pPr>
        <w:jc w:val="both"/>
        <w:rPr>
          <w:b/>
          <w:i/>
          <w:sz w:val="28"/>
          <w:lang w:val="en-US"/>
        </w:rPr>
      </w:pPr>
    </w:p>
    <w:p w:rsidR="007A6C18" w:rsidRDefault="007A6C18">
      <w:pPr>
        <w:pStyle w:val="H3"/>
        <w:numPr>
          <w:ilvl w:val="0"/>
          <w:numId w:val="7"/>
        </w:numPr>
        <w:rPr>
          <w:b w:val="0"/>
          <w:sz w:val="24"/>
        </w:rPr>
      </w:pPr>
      <w:r>
        <w:rPr>
          <w:i/>
          <w:lang w:val="en-US"/>
        </w:rPr>
        <w:t>“</w:t>
      </w:r>
      <w:r>
        <w:rPr>
          <w:i/>
        </w:rPr>
        <w:t>Как организовать общественный экологический мониторинг</w:t>
      </w:r>
      <w:r>
        <w:rPr>
          <w:i/>
          <w:lang w:val="en-US"/>
        </w:rPr>
        <w:t>”</w:t>
      </w:r>
      <w:r>
        <w:rPr>
          <w:b w:val="0"/>
        </w:rPr>
        <w:t xml:space="preserve"> Под ред. к.х.н. М.В.Хотулевой</w:t>
      </w:r>
      <w:r>
        <w:t xml:space="preserve"> М.98г. </w:t>
      </w:r>
      <w:r>
        <w:rPr>
          <w:b w:val="0"/>
          <w:sz w:val="24"/>
        </w:rPr>
        <w:t>Руководство для общественных организаций</w:t>
      </w:r>
    </w:p>
    <w:p w:rsidR="007A6C18" w:rsidRDefault="007A6C18">
      <w:pPr>
        <w:numPr>
          <w:ilvl w:val="0"/>
          <w:numId w:val="9"/>
        </w:numPr>
        <w:rPr>
          <w:color w:val="000000"/>
          <w:sz w:val="28"/>
        </w:rPr>
      </w:pPr>
      <w:r w:rsidRPr="001F02AC">
        <w:rPr>
          <w:b/>
          <w:i/>
          <w:color w:val="000000"/>
          <w:sz w:val="28"/>
        </w:rPr>
        <w:t>"Как организовать общественную экологическую экспертизу. Пособие для общественных организаций".</w:t>
      </w:r>
      <w:r>
        <w:rPr>
          <w:color w:val="000000"/>
          <w:sz w:val="28"/>
        </w:rPr>
        <w:t xml:space="preserve"> М.В.Хотулева, О.М.Черп, В.Н.Виниченко.</w:t>
      </w:r>
    </w:p>
    <w:p w:rsidR="007A6C18" w:rsidRDefault="007A6C18">
      <w:pPr>
        <w:numPr>
          <w:ilvl w:val="0"/>
          <w:numId w:val="9"/>
        </w:numPr>
        <w:rPr>
          <w:b/>
          <w:i/>
          <w:sz w:val="28"/>
          <w:lang w:val="en-US"/>
        </w:rPr>
      </w:pPr>
      <w:r>
        <w:rPr>
          <w:b/>
          <w:i/>
          <w:sz w:val="28"/>
        </w:rPr>
        <w:t>“Национальный план действий по охране окружающей</w:t>
      </w:r>
      <w:r>
        <w:rPr>
          <w:b/>
          <w:i/>
          <w:sz w:val="28"/>
        </w:rPr>
        <w:br/>
        <w:t>среды для устойчивого развития Республики Казахстан”</w:t>
      </w:r>
      <w:r>
        <w:rPr>
          <w:b/>
          <w:i/>
          <w:sz w:val="28"/>
        </w:rPr>
        <w:br/>
        <w:t>(Центр НПДООС/УР)</w:t>
      </w:r>
    </w:p>
    <w:p w:rsidR="007A6C18" w:rsidRDefault="007A6C18">
      <w:pPr>
        <w:pStyle w:val="H3"/>
        <w:rPr>
          <w:b w:val="0"/>
          <w:i/>
          <w:lang w:val="en-US"/>
        </w:rPr>
      </w:pPr>
      <w:bookmarkStart w:id="0" w:name="_GoBack"/>
      <w:bookmarkEnd w:id="0"/>
    </w:p>
    <w:sectPr w:rsidR="007A6C18">
      <w:footerReference w:type="even" r:id="rId10"/>
      <w:footerReference w:type="default" r:id="rId11"/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18" w:rsidRDefault="007A6C18">
      <w:r>
        <w:separator/>
      </w:r>
    </w:p>
  </w:endnote>
  <w:endnote w:type="continuationSeparator" w:id="0">
    <w:p w:rsidR="007A6C18" w:rsidRDefault="007A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18" w:rsidRDefault="007A6C1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7A6C18" w:rsidRDefault="007A6C1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18" w:rsidRDefault="001F02AC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7A6C18" w:rsidRDefault="007A6C1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18" w:rsidRDefault="007A6C18">
      <w:r>
        <w:separator/>
      </w:r>
    </w:p>
  </w:footnote>
  <w:footnote w:type="continuationSeparator" w:id="0">
    <w:p w:rsidR="007A6C18" w:rsidRDefault="007A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7D46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9008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334E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5747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3E2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C170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7E01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6E175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2AC"/>
    <w:rsid w:val="001F02AC"/>
    <w:rsid w:val="00370F0C"/>
    <w:rsid w:val="007A6C18"/>
    <w:rsid w:val="0083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E7D61503-206C-4783-8CF7-B1FF7C8E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snapToGrid w:val="0"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pacing w:val="2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pacing w:val="20"/>
      <w:sz w:val="28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a4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jc w:val="both"/>
    </w:pPr>
    <w:rPr>
      <w:spacing w:val="20"/>
      <w:sz w:val="28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character" w:styleId="a7">
    <w:name w:val="FollowedHyperlink"/>
    <w:semiHidden/>
    <w:rPr>
      <w:color w:val="800080"/>
      <w:u w:val="single"/>
    </w:rPr>
  </w:style>
  <w:style w:type="paragraph" w:styleId="20">
    <w:name w:val="Body Text 2"/>
    <w:basedOn w:val="a"/>
    <w:semiHidden/>
    <w:pPr>
      <w:jc w:val="center"/>
    </w:pPr>
    <w:rPr>
      <w:b/>
      <w:sz w:val="32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 </Company>
  <LinksUpToDate>false</LinksUpToDate>
  <CharactersWithSpaces>17706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Кудисов</dc:creator>
  <cp:keywords/>
  <cp:lastModifiedBy>Irina</cp:lastModifiedBy>
  <cp:revision>2</cp:revision>
  <dcterms:created xsi:type="dcterms:W3CDTF">2014-08-06T17:14:00Z</dcterms:created>
  <dcterms:modified xsi:type="dcterms:W3CDTF">2014-08-06T17:14:00Z</dcterms:modified>
</cp:coreProperties>
</file>