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39F" w:rsidRPr="00C8135F" w:rsidRDefault="00F4339F" w:rsidP="00F4339F">
      <w:pPr>
        <w:spacing w:before="120"/>
        <w:jc w:val="center"/>
        <w:rPr>
          <w:b/>
          <w:bCs/>
          <w:sz w:val="32"/>
          <w:szCs w:val="32"/>
        </w:rPr>
      </w:pPr>
      <w:r w:rsidRPr="00C8135F">
        <w:rPr>
          <w:b/>
          <w:bCs/>
          <w:sz w:val="32"/>
          <w:szCs w:val="32"/>
        </w:rPr>
        <w:t>Октава</w:t>
      </w:r>
    </w:p>
    <w:p w:rsidR="00F4339F" w:rsidRDefault="00F4339F" w:rsidP="00F4339F">
      <w:pPr>
        <w:spacing w:before="120"/>
        <w:ind w:firstLine="567"/>
        <w:jc w:val="both"/>
      </w:pPr>
      <w:r w:rsidRPr="008433AA">
        <w:t>Октава (итал. “ottava rima”)– строфа из 8 стихов с рифмовкой abababcc :</w:t>
      </w:r>
      <w:r>
        <w:t xml:space="preserve"> 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Обол - Харону: сразу дань плачу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Врагам моим. - В отваге безрассудной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Писать роман октавами хочу.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От стройности, от музыки их чудной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Я без ума; поэму заключу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В стесненные границы меры трудной.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Попробуем, - хоть вольный наш язык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К тройным цепям октавы не привык.</w:t>
      </w:r>
    </w:p>
    <w:p w:rsidR="00F4339F" w:rsidRDefault="00F4339F" w:rsidP="00F4339F">
      <w:pPr>
        <w:spacing w:before="120"/>
        <w:ind w:firstLine="567"/>
        <w:jc w:val="both"/>
      </w:pPr>
      <w:r w:rsidRPr="008433AA">
        <w:t>(Д.С.Мережковский. Старинные октавы)</w:t>
      </w:r>
      <w:r>
        <w:t xml:space="preserve"> 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(Обол – медная монета, которую древние греки клали под язык покойнику, чтобы он мог оплатить переправу через реку, отделяющую мир людей от царства мертвых; Харон – в греч. мифологии перевозчик душ умерших в подземном царстве.)</w:t>
      </w:r>
    </w:p>
    <w:p w:rsidR="00F4339F" w:rsidRDefault="00F4339F" w:rsidP="00F4339F">
      <w:pPr>
        <w:spacing w:before="120"/>
        <w:ind w:firstLine="567"/>
        <w:jc w:val="both"/>
      </w:pPr>
      <w:r w:rsidRPr="008433AA">
        <w:t>Октава развилась из популярной у итальянских поэтов XIII в. “сицилианы”. “Сицилийское” восьмистишие со схемой рифмовки abababab было генетически связано с народными песнями. Октава с ее “книжным” характером постепенно вытеснила сицилиану. Обе разновидности восьмистишных строф предполагали использование наиболее распространенной формы итальянской силлабики – одиннадцатисложника. В русской силлабо-тонической традиции он передается 5-стопным ямбом. Поэтому русские октавы – ямбические. А сицилиана, в силу того что в русской поэзии исключительно мало ее образцов, столь прочной связи с ямбом не получила. Например, хореем написана сицилиана А.А.Блока “Май жестокий с белыми ночами…”:</w:t>
      </w:r>
      <w:r>
        <w:t xml:space="preserve"> 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Май жестокий с белыми ночами!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Вечный стук в ворота: выходи!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Голубая дымка за плечами,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Неизвестность, гибель впереди!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Женщины с безумными очами,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С вечно смятой розой на груди!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Пробудись! Пронзи меня мечами,</w:t>
      </w:r>
    </w:p>
    <w:p w:rsidR="00F4339F" w:rsidRDefault="00F4339F" w:rsidP="00F4339F">
      <w:pPr>
        <w:spacing w:before="120"/>
        <w:ind w:firstLine="567"/>
        <w:jc w:val="both"/>
      </w:pPr>
      <w:r w:rsidRPr="008433AA">
        <w:t>От страстей моих освободи!</w:t>
      </w:r>
      <w:r>
        <w:t xml:space="preserve"> 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Не только в русской, но и в других европейских литературах октава получила большее распространение, чем восьмистишия с иными схемами рифмовки. В первую очередь этому способствовала ее композиционная гибкость. Любое четверостишие с перекрестной рифмовкой самодостаточно. Если к нему добавить две строки и при этом продолжить ряд слов на заданные рифмы, читатель перестанет ожидать смены рифм в строфе. Так происходит при чтении сицилианы. Иной эффект у октавы: смена рифм в последних двух стихах – новая неожиданность для читателя. Стихотворцам удобно развивать в 6-ти строках октавы отдельную тему, а в 2-х заключительных – обозначать переход к теме новой строфы или афористической фразой подводить итог сказанному. Композиционные различия повлияли на судьбу двух строфических форм: сицилиана оказалась связанной с лирическими жанрами, октава – с лиро-эпическими.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 xml:space="preserve">Европейская популярность октавы была обусловлена тем, что к ней обращались знаменитые поэты итальянского Возрождения (Дж.Боккаччо в “Нимфах из Фьезоле”, Л.Ариосто в “Неистовом Роланде”, Т.Тассо в “Освобожденном Иерусалиме”). Немаловажную роль в популяризации октавы сыграли И.В.Гете и Дж.Г.Байрон. 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В русскую поэзию октава проникла в начале XIX в., когда отечественные стихотворцы познакомились с оригинальными сочинениями Гете и Байрона, начали их переводить или им подражать. Гете написал октавами ряд стихотворений, а также “Посвящение”, с которого начинается текст “Фауста”. Байрон использовал форму октавы в лиро-эпических поэмах “Дон Жуан” и “Беппо”.</w:t>
      </w:r>
    </w:p>
    <w:p w:rsidR="00F4339F" w:rsidRDefault="00F4339F" w:rsidP="00F4339F">
      <w:pPr>
        <w:spacing w:before="120"/>
        <w:ind w:firstLine="567"/>
        <w:jc w:val="both"/>
      </w:pPr>
      <w:r w:rsidRPr="008433AA">
        <w:t>Форма октавы у Гете подчеркивала его внимание к вековым поэтическим традициям, а новым было ее применение в малых жанрах лирики. Байрон, напротив, не нарушил историческую связь октавы с большими жанрами, но при этом существенно обновил старую форму. Прежде всего он отказался от строгого языка, плавной интонации, формул своеобразного поэтического “этикета”. Непринужденным тоном он повел с читателем доверительный разговор, обсуждая “между делом” (в частых отступлениях от повествования) проблемы литературного творчества и часто апеллируя к жизненному опыту своих читателей:</w:t>
      </w:r>
      <w:r>
        <w:t xml:space="preserve"> 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Когда писатель – только лишь писатель,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Сухарь чернильный, право, он смешон.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Чванлив, ревнив, завистлив – о создатель!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Последнего хлыща ничтожней он!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Что делать с этой тварью, мой читатель?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Надуть мехами, чтобы лопнул он!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Исчерканный клочок бумаги писчей,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Ночной огарок – вот кто этот нищий!</w:t>
      </w:r>
    </w:p>
    <w:p w:rsidR="00F4339F" w:rsidRDefault="00F4339F" w:rsidP="00F4339F">
      <w:pPr>
        <w:spacing w:before="120"/>
        <w:ind w:firstLine="567"/>
        <w:jc w:val="both"/>
      </w:pPr>
      <w:r w:rsidRPr="008433AA">
        <w:t>(Беппо. LXXV. Пер. В.Левика)</w:t>
      </w:r>
      <w:r>
        <w:t xml:space="preserve"> 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При этом соединение старой строфической формы с новой интонацией автор часто подчеркивал на уровне композиции. Байрон предельно обнажал двухчастность строфы (6+2): пара заключительных строк служила, как правило, ироничным комментарием к тому, о чем сообщали предшествующие шесть стихов.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Таким образом, творчество немецкого и английского поэтов представило их русским последователям два типа октавы – лирический (или элегический) и лиро-эпический (или сатирический). Российским стихотворцам предстояло выбрать, какой будет современная русская октава.</w:t>
      </w:r>
    </w:p>
    <w:p w:rsidR="00F4339F" w:rsidRDefault="00F4339F" w:rsidP="00F4339F">
      <w:pPr>
        <w:spacing w:before="120"/>
        <w:ind w:firstLine="567"/>
        <w:jc w:val="both"/>
      </w:pPr>
      <w:r w:rsidRPr="008433AA">
        <w:t>В.А.Жуковский отдавал предпочтение образцам октав Гете. Свою “старинную повесть в двух балладах”, “Двенадцать спящих дев”, он предварил октавами переведенного “Посвящения” из “Фауста”. Затем ввел форму октавы в элегию (“На кончину ее величества королевы Виртембергской”, “Цвет завета”). Все строфы в указанных произведениях имеют рифмовку AbAbAbCC и цезуру после второй стопы:</w:t>
      </w:r>
      <w:r>
        <w:t xml:space="preserve"> 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О наша жизнь, / где верны лишь утраты,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Где милому / мгновенье лишь дано,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Где скорбь без крыл, / а радости крылаты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И где навек / минувшее одно…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Почто ж мы здесь / мечтами так богаты,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Когда мечтам / не сбыться суждено?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Внимая глас / Надежды, нам поющей,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Не слышим мы / шагов Беды грядущей.</w:t>
      </w:r>
    </w:p>
    <w:p w:rsidR="00F4339F" w:rsidRDefault="00F4339F" w:rsidP="00F4339F">
      <w:pPr>
        <w:spacing w:before="120"/>
        <w:ind w:firstLine="567"/>
        <w:jc w:val="both"/>
      </w:pPr>
      <w:r w:rsidRPr="008433AA">
        <w:t>(На кончину ее величества…)</w:t>
      </w:r>
      <w:r>
        <w:t xml:space="preserve"> 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А.С.Пушкин, впервые обращаясь к октаве в стихотворении “Кто видел край, где роскошью природы…” (идея которого, между прочим, была навеяна и стихами Гете, и стихами Байрона), использует ту форму, которой придерживался Жуковский. Поэт обратится к октаве еще трижды, но с намерением не воспроизвести, а обновить известную форму.</w:t>
      </w:r>
    </w:p>
    <w:p w:rsidR="00F4339F" w:rsidRDefault="00F4339F" w:rsidP="00F4339F">
      <w:pPr>
        <w:spacing w:before="120"/>
        <w:ind w:firstLine="567"/>
        <w:jc w:val="both"/>
      </w:pPr>
      <w:r w:rsidRPr="008433AA">
        <w:t>Под влиянием поэм Байрона Пушкин пишет “Домик в Коломне”. Новое звучание октавам этой комической поэмы придают бесцезурный 5-стопный ямб и прием чередования строф, открывающихся стихами с мужскими и женскими клаузулами (aBaBaBcc AbAbAbCC, и т.д.):</w:t>
      </w:r>
      <w:r>
        <w:t xml:space="preserve"> 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Четырехстопный ямб мне надоел: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Им пишет всякий. Мальчикам в забаву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Пора б его оставить. Я хотел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Давным-давно приняться за октаву.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А в самом деле: я бы совладел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С тройным созвучием. Пущусь на славу!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Ведь рифмы запросто со мной живут;</w:t>
      </w:r>
    </w:p>
    <w:p w:rsidR="00F4339F" w:rsidRDefault="00F4339F" w:rsidP="00F4339F">
      <w:pPr>
        <w:spacing w:before="120"/>
        <w:ind w:firstLine="567"/>
        <w:jc w:val="both"/>
      </w:pPr>
      <w:r w:rsidRPr="008433AA">
        <w:t>Две придут сами, третью приведут.</w:t>
      </w:r>
      <w:r>
        <w:t xml:space="preserve"> </w:t>
      </w:r>
    </w:p>
    <w:p w:rsidR="00F4339F" w:rsidRDefault="00F4339F" w:rsidP="00F4339F">
      <w:pPr>
        <w:spacing w:before="120"/>
        <w:ind w:firstLine="567"/>
        <w:jc w:val="both"/>
      </w:pPr>
      <w:r w:rsidRPr="008433AA">
        <w:t>Если Пушкин имитировал стилистические особенности октав Байрона, то русские стихотворцы при создании поэм в октавах в свою очередь испытывали влияние стиля “Домика в Коломне”. В частности, это проявилось в бесцезурности 5-стопного ямба подобных произведений. А поэт вернулся к собственному варианту октавы в стихотворном послании “Плетневу (Ты мне советуешь, Плетнев любезный…)”, но не оставил поиски средств обновления традиционной формы: в стихотворении “Осень (Отрывок)” октавы (с рифмовкой AbAbAbCC aBaBaBcc, и т.д.) впервые выстраиваются из строк 6-стопного ямба с цезурой:</w:t>
      </w:r>
      <w:r>
        <w:t xml:space="preserve"> 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Октябрь уж наступил - / уж роща отряхает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Последние листы / с нагих своих ветвей;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Дохнул осенний хлад - / дорога промерзает,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Журча еще бежит / за мельницу ручей,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Но пруд уже застыл; / сосед мой поспешает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В отъезжие поля / с охотою своей,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И страждут озими / от бешеной забавы,</w:t>
      </w:r>
    </w:p>
    <w:p w:rsidR="00F4339F" w:rsidRDefault="00F4339F" w:rsidP="00F4339F">
      <w:pPr>
        <w:spacing w:before="120"/>
        <w:ind w:firstLine="567"/>
        <w:jc w:val="both"/>
      </w:pPr>
      <w:r w:rsidRPr="008433AA">
        <w:t>И будит лай собак / уснувшие дубравы.</w:t>
      </w:r>
      <w:r>
        <w:t xml:space="preserve"> 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 xml:space="preserve">Пушкин не был одинок в попытках обновить октаву. Так, В.К.Кюхельбекер, написавший бесцезурным 5-стопным ямбом октавы “Эпилога” к поэме “Юрий и Ксения” (рифмовка AbAbAbCC), дважды трансформировал рифмовку популярной строфы: в стихотворении “19 октября 1836 года” обнаруживаем причудливую рифмовку aBBaaaCC, а в “Послании к брату” рифмовка начальной строфы – традиционна (AbAbAbCC), однако в остальных строфах схеме соответствуют лишь последние двустишия (СС), а стихи с двумя предваряющими триадами рифм располагаются произвольно. 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Но подобные восьмистишия уже мало походят на каноническую октаву. И Кюхельбекер, и поэты следующих поколений в своих попытках обновить октаву достигали неожиданных результатов – они создавали новые строфы. (Единственным исключением является, пожалуй, строфа с рифмовкой aBaBBaCC, которая была изобретена А.Н.Апухтиным для стихотворения “Венеция” и чья близость к традиционной октаве вполне ощутима даже на слух.)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Заслуживает внимания и опыт М.Ю.Лермонтова. Поэт впервые применил октавы в стихотворении “Пир Асмодея” (рифмовка AbAbAbCC, бесцезурный 5-стопный ямб). А затем написал октавами “посвящение” к поэме “Последний сын вольности” (сказалось влияние “Двенадцати спящих дев” Жуковского, проявившееся и в том, что оба поэта обратились к легендарной фигуре Вадима Новгородского). Октавы этого “посвящения” содержат стихи только с мужскими клаузулами (рифмовка abababcc), что является признаком обновления формы.</w:t>
      </w:r>
    </w:p>
    <w:p w:rsidR="00F4339F" w:rsidRDefault="00F4339F" w:rsidP="00F4339F">
      <w:pPr>
        <w:spacing w:before="120"/>
        <w:ind w:firstLine="567"/>
        <w:jc w:val="both"/>
      </w:pPr>
      <w:r w:rsidRPr="008433AA">
        <w:t>Вполне вероятно, с октавой генетически связана и так называемая “лермонтовская” строфа (с рифмовкой aBaBaCCddEE), которая использована в поэмах “Сашка” и “Сказка для детей”. Место шестой строки октавы (B) занимает четверостишие с парной рифмовкой (CCdd) – и октава превращается в одиннадцатистишие:</w:t>
      </w:r>
      <w:r>
        <w:t xml:space="preserve"> 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Стихов я не читаю – но люблю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Марать шутя бумаги лист летучий;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Свой стих за хвост отважно я ловлю;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Я без ума от тройственных созвучий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И влажных рифм – как, например, на ю.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Вот почему пишу я эту сказку.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Ее волшебно темную завязку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Не стану я подробно объяснять,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Чтоб кой-каких допросов избежать;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Зато конец не будет без морали,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Чтобы ее хоть дети прочитали.</w:t>
      </w:r>
    </w:p>
    <w:p w:rsidR="00F4339F" w:rsidRDefault="00F4339F" w:rsidP="00F4339F">
      <w:pPr>
        <w:spacing w:before="120"/>
        <w:ind w:firstLine="567"/>
        <w:jc w:val="both"/>
      </w:pPr>
      <w:r w:rsidRPr="008433AA">
        <w:t>(Сказка для детей)</w:t>
      </w:r>
      <w:r>
        <w:t xml:space="preserve"> 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Лермонтов вспомнил здесь о тех “тройственных созвучиях”, которые были знакомы ему по октаве (ср. с “тройным созвучием” Пушкина и “тройными цепями октавы” Мережковского в процитированных строфах).</w:t>
      </w:r>
    </w:p>
    <w:p w:rsidR="00F4339F" w:rsidRDefault="00F4339F" w:rsidP="00F4339F">
      <w:pPr>
        <w:spacing w:before="120"/>
        <w:ind w:firstLine="567"/>
        <w:jc w:val="both"/>
      </w:pPr>
      <w:r w:rsidRPr="008433AA">
        <w:t>В середине XIX в. октавы появляются преимущественно в лиро-эпике. Традицию “Домика в Коломне” (восходящую к ироническому стилю октав Байрона) поддерживают поэмы, написанные 5-стопным ямбом без цезуры. Например, “Талисман” и “Сон” А.А.Фета (с рифмовкой aBaBaBcc), “Сон Попова” и “Портрет” А.К.Толстого (с рифмовкой AbAbAbCC). Поэты рубежа XIX-XX вв., обращаясь к октаве, уже будут видеть в ней не живую, а “окаменевшую” форму. Значительно раньше прервется гетевская традиция лирической октавы. Одним из последних ее образцов является однострофное стихотворение А.Н.Майкова “Октава” (рифмовка AbAbAbCC, 6-стопный ямб с цезурой):</w:t>
      </w:r>
      <w:r>
        <w:t xml:space="preserve"> 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Гармонии стиха / божественные тайны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Не думай разгадать / по книгам мудрецов: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У брега сонных вод, / один бродя случайно,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Прислушайся душой / к шептанью тростников,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Дубравы говору; / их звук необычайный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Прочувствуй и пойми… / В созвучии стихов</w:t>
      </w:r>
    </w:p>
    <w:p w:rsidR="00F4339F" w:rsidRPr="008433AA" w:rsidRDefault="00F4339F" w:rsidP="00F4339F">
      <w:pPr>
        <w:spacing w:before="120"/>
        <w:ind w:firstLine="567"/>
        <w:jc w:val="both"/>
      </w:pPr>
      <w:r w:rsidRPr="008433AA">
        <w:t>Невольно с уст твоих / размерные октавы</w:t>
      </w:r>
    </w:p>
    <w:p w:rsidR="00F4339F" w:rsidRDefault="00F4339F" w:rsidP="00F4339F">
      <w:pPr>
        <w:spacing w:before="120"/>
        <w:ind w:firstLine="567"/>
        <w:jc w:val="both"/>
      </w:pPr>
      <w:r w:rsidRPr="008433AA">
        <w:t>Польются, звучные, / как музыка дубравы.</w:t>
      </w:r>
      <w:r>
        <w:t xml:space="preserve">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39F"/>
    <w:rsid w:val="003F3287"/>
    <w:rsid w:val="004915ED"/>
    <w:rsid w:val="006D2831"/>
    <w:rsid w:val="008433AA"/>
    <w:rsid w:val="00AC4A35"/>
    <w:rsid w:val="00BB0DE0"/>
    <w:rsid w:val="00C8135F"/>
    <w:rsid w:val="00C860FA"/>
    <w:rsid w:val="00F4339F"/>
    <w:rsid w:val="00F8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D992C8-D352-4ED3-B60E-786A5D5E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39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33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6494</Words>
  <Characters>3703</Characters>
  <Application>Microsoft Office Word</Application>
  <DocSecurity>0</DocSecurity>
  <Lines>30</Lines>
  <Paragraphs>20</Paragraphs>
  <ScaleCrop>false</ScaleCrop>
  <Company>Home</Company>
  <LinksUpToDate>false</LinksUpToDate>
  <CharactersWithSpaces>10177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Октава</dc:title>
  <dc:subject/>
  <dc:creator>User</dc:creator>
  <cp:keywords/>
  <dc:description/>
  <cp:lastModifiedBy>admin</cp:lastModifiedBy>
  <cp:revision>2</cp:revision>
  <dcterms:created xsi:type="dcterms:W3CDTF">2014-01-25T19:45:00Z</dcterms:created>
  <dcterms:modified xsi:type="dcterms:W3CDTF">2014-01-25T19:45:00Z</dcterms:modified>
</cp:coreProperties>
</file>