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4523" w:rsidRDefault="000C4523">
      <w:pPr>
        <w:jc w:val="center"/>
        <w:rPr>
          <w:color w:val="0000FF"/>
        </w:rPr>
      </w:pPr>
    </w:p>
    <w:p w:rsidR="000C4523" w:rsidRDefault="000C4523">
      <w:pPr>
        <w:jc w:val="center"/>
        <w:rPr>
          <w:color w:val="0000FF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План реферата.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Актуальность темы.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Определение меланомы.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Эпидемиология меланомы.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Классификация меланомы:</w:t>
      </w:r>
    </w:p>
    <w:p w:rsidR="000C4523" w:rsidRDefault="000C4523">
      <w:pPr>
        <w:numPr>
          <w:ilvl w:val="0"/>
          <w:numId w:val="1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 гистологическому варианту и распространенности опухоли</w:t>
      </w:r>
    </w:p>
    <w:p w:rsidR="000C4523" w:rsidRDefault="000C4523">
      <w:pPr>
        <w:numPr>
          <w:ilvl w:val="0"/>
          <w:numId w:val="1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>TNM</w:t>
      </w:r>
      <w:r>
        <w:rPr>
          <w:rFonts w:ascii="Courier New" w:hAnsi="Courier New"/>
          <w:sz w:val="28"/>
        </w:rPr>
        <w:t xml:space="preserve"> классификация и группировка по стадиям, </w:t>
      </w:r>
    </w:p>
    <w:p w:rsidR="000C4523" w:rsidRDefault="000C4523">
      <w:pPr>
        <w:numPr>
          <w:ilvl w:val="0"/>
          <w:numId w:val="1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уровни  инвазии меланомы по Кларку</w:t>
      </w:r>
    </w:p>
    <w:p w:rsidR="000C4523" w:rsidRDefault="000C4523">
      <w:pPr>
        <w:numPr>
          <w:ilvl w:val="0"/>
          <w:numId w:val="1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толщина Бреслоу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Анатомические  отделы шеи: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Анатомические и топографические особенности  шеи</w:t>
      </w:r>
    </w:p>
    <w:p w:rsidR="000C4523" w:rsidRDefault="000C4523">
      <w:pPr>
        <w:numPr>
          <w:ilvl w:val="0"/>
          <w:numId w:val="2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Фасции шеи по Шевкуненко</w:t>
      </w:r>
    </w:p>
    <w:p w:rsidR="000C4523" w:rsidRDefault="000C4523">
      <w:pPr>
        <w:numPr>
          <w:ilvl w:val="0"/>
          <w:numId w:val="2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Лимфатическая система шейной области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Методы исследования шеи и головы:</w:t>
      </w:r>
    </w:p>
    <w:p w:rsidR="000C4523" w:rsidRDefault="000C4523">
      <w:pPr>
        <w:numPr>
          <w:ilvl w:val="0"/>
          <w:numId w:val="2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методика исследования лимфатических узлов шеи и головы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Диагностика меланомы.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анамнез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жалобы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осмотр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диагностические процедуры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Лечение: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принципы хирургического лечения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лучевая терапия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химиотерапия</w:t>
      </w:r>
    </w:p>
    <w:p w:rsidR="000C4523" w:rsidRDefault="000C4523">
      <w:pPr>
        <w:numPr>
          <w:ilvl w:val="0"/>
          <w:numId w:val="2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иммунотерапия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Прогноз и результаты лечения.</w:t>
      </w:r>
    </w:p>
    <w:p w:rsidR="000C4523" w:rsidRDefault="000C4523">
      <w:pPr>
        <w:numPr>
          <w:ilvl w:val="0"/>
          <w:numId w:val="1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Клинические разработки в лечении меланомы головы и шеи.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Актуальность: злокачественные заболевания кожи составляют около 25% раковых заболеваний. В 90% случаев рак кожи возникает на голове или шее. Злокачественная меланома составляет 1% всех случаев  рака. В 20-30% случаев локализация меланом - голова и шея.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Определение меланомы.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Меланомой называется опухоль, клетки которой обладают способностью образовывать пигмент меланин, поэтому она в большинстве случаев имеет темную окраску. Опухоль развивается из клеток меланоцитов, которые являются дериватами нейральной полоски, которые в эмбриональном периоде мигрируют в кожу, глаз, центральную нервную систему.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Хотя в среднем каждый человек имеет 20 родимых пятен, каждый год только лишь 7 человек из 100 тысяч заболевают меланомой. Меланома является серьезной проблемой поскольку каждый год погибает 30-40% больных меланомой.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pStyle w:val="2"/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Эпидемиология.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Частота заболевания - 3 свежих случая на 100 тыс. населения ежегодно. С одинаковой частотой встречается в пожилом возрасте у мужчин и женщин. Заболеваемость меланомой растет в течение последних нескольких десятилетий и составляет 2.5 - 10% от всех вновь выявляемых опухолей кожи. В США заболеваемость к 2000 году предположительно составит 1:150 жителей. Меланомой страдает чаще всего лица в возрасте от 30 до 50 лет. Как ни странно у лиц негроидной рассы меланома встречается редко, на депигментированных  участках кожи (ладони и стопы). Частота  заболеваемости растет у лиц белой рассы тем больше, чем ближе они живут к экватору. Меланомы редко развиваются до полового созревания. Особенно восприимчивы люди с белой кожей и рыжеволосые. Было установлено что от 5 до 10% меланом связаны с наследственностью. Существует два типа невусов: диспластические и врожденные. Диспластические развиваются при диспластическом синдроме и озлокачествляются в 100% случаев, врожденные невусы встречаются у 1% всех новорожденных. При невусе более 2 см риск озлокачествления составляет 5-20%. Частота заболеваемости  злокачественной меланомой возрастает в 2 раза каждые 15 лет.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pStyle w:val="2"/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Классификация.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 гистологическому  варианту и распространенности опухоли.</w:t>
      </w:r>
    </w:p>
    <w:p w:rsidR="000C4523" w:rsidRDefault="000C4523">
      <w:pPr>
        <w:numPr>
          <w:ilvl w:val="0"/>
          <w:numId w:val="1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Поверхностная меланома - составляет 70% всех меланом. Чаще располагается на спине и голенях. Средний возраст больных - 50 лет. Опухоль с неровными краями, окраска варьирует. Атипичные клетки локализуются в верхних слоях дермы, распространяясь в латеральном направлении. Прогноз, как правило, благоприятный.</w:t>
      </w:r>
    </w:p>
    <w:p w:rsidR="000C4523" w:rsidRDefault="000C4523">
      <w:pPr>
        <w:numPr>
          <w:ilvl w:val="0"/>
          <w:numId w:val="1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Узловатая меланома встречается в 15% случаев. Синего цвета, без определенной локализации, встречается в пожилом возрасте. Опухолевые клетки распространяются вертикально с быстрой инвазией дермы. Прогноз неблагоприятный.</w:t>
      </w:r>
    </w:p>
    <w:p w:rsidR="000C4523" w:rsidRDefault="000C4523">
      <w:pPr>
        <w:numPr>
          <w:ilvl w:val="0"/>
          <w:numId w:val="1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Акролентиговидная и слизистая меланомы (10% всех меланом) встречаются в старшем возрасте. Опухоль с неровными краями, черного цвета, может быть беспигментной. Растет медленно в радиальном направлении, обычно в верхних слоях дермы ( на ладонях, подошвах). Прогноз зависит от степени инфильтрирующего роста опухоли.</w:t>
      </w:r>
    </w:p>
    <w:p w:rsidR="000C4523" w:rsidRDefault="000C4523">
      <w:pPr>
        <w:numPr>
          <w:ilvl w:val="0"/>
          <w:numId w:val="1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Злокачественное лентиго (меланотические веснушки) - самая редкая форма. Развивается на седьмом десятилетии жизни. Узелки в виде пятен от желто-коричневого до почти черного цвета, диаметром 1.5 -3 мм, формируются в гладких веснушках. Рост опухоли медленный, в радиальном направлении в верхних слоях дермы. Прогноз благоприятный.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>TNM</w:t>
      </w:r>
      <w:r>
        <w:rPr>
          <w:rFonts w:ascii="Courier New" w:hAnsi="Courier New"/>
          <w:sz w:val="28"/>
        </w:rPr>
        <w:t xml:space="preserve"> классификация и группировка по стадиям.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7"/>
        <w:gridCol w:w="1820"/>
        <w:gridCol w:w="1276"/>
        <w:gridCol w:w="1275"/>
        <w:gridCol w:w="1560"/>
        <w:gridCol w:w="992"/>
        <w:gridCol w:w="992"/>
      </w:tblGrid>
      <w:tr w:rsidR="000C4523">
        <w:tc>
          <w:tcPr>
            <w:tcW w:w="1407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TNM</w:t>
            </w:r>
          </w:p>
        </w:tc>
        <w:tc>
          <w:tcPr>
            <w:tcW w:w="182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</w:p>
        </w:tc>
        <w:tc>
          <w:tcPr>
            <w:tcW w:w="1276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  <w:lang w:val="en-US"/>
              </w:rPr>
              <w:t>Уровень Clark</w:t>
            </w:r>
          </w:p>
        </w:tc>
        <w:tc>
          <w:tcPr>
            <w:tcW w:w="1275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Стадия TNM</w:t>
            </w:r>
          </w:p>
        </w:tc>
        <w:tc>
          <w:tcPr>
            <w:tcW w:w="156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Pt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M</w:t>
            </w:r>
          </w:p>
        </w:tc>
      </w:tr>
      <w:tr w:rsidR="000C4523">
        <w:tc>
          <w:tcPr>
            <w:tcW w:w="1407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PT1</w:t>
            </w:r>
          </w:p>
        </w:tc>
        <w:tc>
          <w:tcPr>
            <w:tcW w:w="182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 xml:space="preserve"> Меньше или равно 0.75 мм</w:t>
            </w:r>
          </w:p>
        </w:tc>
        <w:tc>
          <w:tcPr>
            <w:tcW w:w="1276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2</w:t>
            </w:r>
          </w:p>
        </w:tc>
        <w:tc>
          <w:tcPr>
            <w:tcW w:w="1275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1</w:t>
            </w:r>
          </w:p>
        </w:tc>
        <w:tc>
          <w:tcPr>
            <w:tcW w:w="156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РТ1</w:t>
            </w:r>
          </w:p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РТ2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N0</w:t>
            </w:r>
          </w:p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N0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M0</w:t>
            </w:r>
          </w:p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M0</w:t>
            </w:r>
          </w:p>
        </w:tc>
      </w:tr>
      <w:tr w:rsidR="000C4523">
        <w:tc>
          <w:tcPr>
            <w:tcW w:w="1407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РТ 2</w:t>
            </w:r>
          </w:p>
        </w:tc>
        <w:tc>
          <w:tcPr>
            <w:tcW w:w="182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От 0.75 до 1.5 мм</w:t>
            </w:r>
          </w:p>
        </w:tc>
        <w:tc>
          <w:tcPr>
            <w:tcW w:w="1276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3</w:t>
            </w:r>
          </w:p>
        </w:tc>
        <w:tc>
          <w:tcPr>
            <w:tcW w:w="1275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2</w:t>
            </w:r>
          </w:p>
        </w:tc>
        <w:tc>
          <w:tcPr>
            <w:tcW w:w="156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РТ3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N0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M0</w:t>
            </w:r>
          </w:p>
        </w:tc>
      </w:tr>
      <w:tr w:rsidR="000C4523">
        <w:tc>
          <w:tcPr>
            <w:tcW w:w="1407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РТ 3</w:t>
            </w:r>
          </w:p>
        </w:tc>
        <w:tc>
          <w:tcPr>
            <w:tcW w:w="182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От 1.5 до 4 мм</w:t>
            </w:r>
          </w:p>
        </w:tc>
        <w:tc>
          <w:tcPr>
            <w:tcW w:w="1276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4</w:t>
            </w:r>
          </w:p>
        </w:tc>
        <w:tc>
          <w:tcPr>
            <w:tcW w:w="1275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3</w:t>
            </w:r>
          </w:p>
        </w:tc>
        <w:tc>
          <w:tcPr>
            <w:tcW w:w="156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РТ4</w:t>
            </w:r>
          </w:p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Любая Т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N0</w:t>
            </w:r>
          </w:p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N1 N2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M0</w:t>
            </w:r>
          </w:p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M0</w:t>
            </w:r>
          </w:p>
        </w:tc>
      </w:tr>
      <w:tr w:rsidR="000C4523">
        <w:tc>
          <w:tcPr>
            <w:tcW w:w="1407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РТ 4</w:t>
            </w:r>
          </w:p>
        </w:tc>
        <w:tc>
          <w:tcPr>
            <w:tcW w:w="182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Более 4 мм и саттелиты</w:t>
            </w:r>
          </w:p>
        </w:tc>
        <w:tc>
          <w:tcPr>
            <w:tcW w:w="1276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5</w:t>
            </w:r>
          </w:p>
        </w:tc>
        <w:tc>
          <w:tcPr>
            <w:tcW w:w="1275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4</w:t>
            </w:r>
          </w:p>
        </w:tc>
        <w:tc>
          <w:tcPr>
            <w:tcW w:w="1560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Любая Т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</w:rPr>
              <w:t xml:space="preserve">Любая </w:t>
            </w:r>
            <w:r>
              <w:rPr>
                <w:rFonts w:ascii="Courier New" w:hAnsi="Courier New"/>
                <w:sz w:val="28"/>
                <w:lang w:val="en-US"/>
              </w:rPr>
              <w:t>N</w:t>
            </w:r>
          </w:p>
        </w:tc>
        <w:tc>
          <w:tcPr>
            <w:tcW w:w="992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  <w:lang w:val="en-US"/>
              </w:rPr>
              <w:t>M1</w:t>
            </w:r>
          </w:p>
        </w:tc>
      </w:tr>
      <w:tr w:rsidR="000C4523">
        <w:trPr>
          <w:cantSplit/>
        </w:trPr>
        <w:tc>
          <w:tcPr>
            <w:tcW w:w="1407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N1</w:t>
            </w:r>
          </w:p>
        </w:tc>
        <w:tc>
          <w:tcPr>
            <w:tcW w:w="7915" w:type="dxa"/>
            <w:gridSpan w:val="6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</w:rPr>
              <w:t>Региональные узлы меньше или равны 3 см</w:t>
            </w:r>
          </w:p>
        </w:tc>
      </w:tr>
      <w:tr w:rsidR="000C4523">
        <w:trPr>
          <w:cantSplit/>
        </w:trPr>
        <w:tc>
          <w:tcPr>
            <w:tcW w:w="1407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N2</w:t>
            </w:r>
          </w:p>
        </w:tc>
        <w:tc>
          <w:tcPr>
            <w:tcW w:w="7915" w:type="dxa"/>
            <w:gridSpan w:val="6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  <w:lang w:val="en-US"/>
              </w:rPr>
            </w:pPr>
            <w:r>
              <w:rPr>
                <w:rFonts w:ascii="Courier New" w:hAnsi="Courier New"/>
                <w:sz w:val="28"/>
                <w:lang w:val="en-US"/>
              </w:rPr>
              <w:t>Региональные узлы больше 3 см и/или транзитные метастазы</w:t>
            </w:r>
          </w:p>
        </w:tc>
      </w:tr>
    </w:tbl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Критерии: размер опухоли, степень инвазии, поражение регионарных лимфатических узлов, наличие и локализация метастазов.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Уровни инвазии меланомы по Кларку: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6911"/>
      </w:tblGrid>
      <w:tr w:rsidR="000C4523">
        <w:tc>
          <w:tcPr>
            <w:tcW w:w="2943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  <w:lang w:val="en-US"/>
              </w:rPr>
              <w:t>I</w:t>
            </w:r>
          </w:p>
        </w:tc>
        <w:tc>
          <w:tcPr>
            <w:tcW w:w="6911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Опухолевый рост в пределах эпидермиса</w:t>
            </w:r>
          </w:p>
        </w:tc>
      </w:tr>
      <w:tr w:rsidR="000C4523">
        <w:tc>
          <w:tcPr>
            <w:tcW w:w="2943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  <w:lang w:val="en-US"/>
              </w:rPr>
              <w:t>II</w:t>
            </w:r>
          </w:p>
        </w:tc>
        <w:tc>
          <w:tcPr>
            <w:tcW w:w="6911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Опухоль проникает в сосочковый слой дермы</w:t>
            </w:r>
          </w:p>
        </w:tc>
      </w:tr>
      <w:tr w:rsidR="000C4523">
        <w:tc>
          <w:tcPr>
            <w:tcW w:w="2943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  <w:lang w:val="en-US"/>
              </w:rPr>
              <w:t>III</w:t>
            </w:r>
          </w:p>
        </w:tc>
        <w:tc>
          <w:tcPr>
            <w:tcW w:w="6911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Опухоль в пределах сосочкового слоя дермы, не проникает в сетчатый слой дермы</w:t>
            </w:r>
          </w:p>
        </w:tc>
      </w:tr>
      <w:tr w:rsidR="000C4523">
        <w:tc>
          <w:tcPr>
            <w:tcW w:w="2943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  <w:lang w:val="en-US"/>
              </w:rPr>
              <w:t>IV</w:t>
            </w:r>
          </w:p>
        </w:tc>
        <w:tc>
          <w:tcPr>
            <w:tcW w:w="6911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Опухоль проникает в сетчатый слой дермы</w:t>
            </w:r>
          </w:p>
        </w:tc>
      </w:tr>
      <w:tr w:rsidR="000C4523">
        <w:tc>
          <w:tcPr>
            <w:tcW w:w="2943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  <w:lang w:val="en-US"/>
              </w:rPr>
              <w:t>V</w:t>
            </w:r>
          </w:p>
        </w:tc>
        <w:tc>
          <w:tcPr>
            <w:tcW w:w="6911" w:type="dxa"/>
          </w:tcPr>
          <w:p w:rsidR="000C4523" w:rsidRDefault="000C4523">
            <w:pPr>
              <w:spacing w:line="360" w:lineRule="auto"/>
              <w:jc w:val="both"/>
              <w:rPr>
                <w:rFonts w:ascii="Courier New" w:hAnsi="Courier New"/>
                <w:sz w:val="28"/>
              </w:rPr>
            </w:pPr>
            <w:r>
              <w:rPr>
                <w:rFonts w:ascii="Courier New" w:hAnsi="Courier New"/>
                <w:sz w:val="28"/>
              </w:rPr>
              <w:t>Инвазия подкожной жировой клетчатки</w:t>
            </w:r>
          </w:p>
        </w:tc>
      </w:tr>
    </w:tbl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Толщина Бреслоу: дополнительный метод определения стадии опухоли. Заключается в измерении глубины инвазии в мм.</w:t>
      </w:r>
    </w:p>
    <w:p w:rsidR="000C4523" w:rsidRDefault="000C4523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Низкий риск метастазирования - опухоли 1, 2, 3 уровней по Кларку и глубиной инвазии менее 0.76 мм.</w:t>
      </w:r>
      <w:r>
        <w:rPr>
          <w:rFonts w:ascii="Courier New" w:hAnsi="Courier New"/>
          <w:sz w:val="28"/>
        </w:rPr>
        <w:tab/>
      </w:r>
    </w:p>
    <w:p w:rsidR="000C4523" w:rsidRDefault="000C4523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Высокий риск метастазирования - опухоли 4,5 уровней по Кларку и глубиной инвазии более 1.5 мм.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 указании локализации неорганных опухолей шеи или метастазов необходимо пользоваться едиными анатомическими наименованиями отделов шеи. Области шеи:</w:t>
      </w:r>
    </w:p>
    <w:p w:rsidR="000C4523" w:rsidRDefault="000C4523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  <w:lang w:val="en-US"/>
        </w:rPr>
      </w:pPr>
      <w:r>
        <w:rPr>
          <w:rFonts w:ascii="Courier New" w:hAnsi="Courier New"/>
          <w:sz w:val="28"/>
        </w:rPr>
        <w:t xml:space="preserve">подбородочный треугольник </w:t>
      </w:r>
    </w:p>
    <w:p w:rsidR="000C4523" w:rsidRDefault="000C4523">
      <w:pPr>
        <w:numPr>
          <w:ilvl w:val="0"/>
          <w:numId w:val="2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подчелюстной треугольник</w:t>
      </w:r>
    </w:p>
    <w:p w:rsidR="000C4523" w:rsidRDefault="000C4523">
      <w:pPr>
        <w:numPr>
          <w:ilvl w:val="0"/>
          <w:numId w:val="2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подподъязычная область</w:t>
      </w:r>
    </w:p>
    <w:p w:rsidR="000C4523" w:rsidRDefault="000C4523">
      <w:pPr>
        <w:numPr>
          <w:ilvl w:val="0"/>
          <w:numId w:val="3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сонный треугольник (в нем находится разветвление общей сонной артерии).</w:t>
      </w:r>
    </w:p>
    <w:p w:rsidR="000C4523" w:rsidRDefault="000C4523">
      <w:pPr>
        <w:numPr>
          <w:ilvl w:val="0"/>
          <w:numId w:val="31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грудинно-ключично-сосцевидная область соответствует кивательной мышце</w:t>
      </w:r>
    </w:p>
    <w:p w:rsidR="000C4523" w:rsidRDefault="000C4523">
      <w:pPr>
        <w:numPr>
          <w:ilvl w:val="0"/>
          <w:numId w:val="3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боковой треугольник шеи</w:t>
      </w:r>
    </w:p>
    <w:p w:rsidR="000C4523" w:rsidRDefault="000C4523">
      <w:pPr>
        <w:numPr>
          <w:ilvl w:val="0"/>
          <w:numId w:val="3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задняя поверхность шеи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 xml:space="preserve"> Анатомические и топографические особенности шеи и головы</w:t>
      </w:r>
      <w:r>
        <w:rPr>
          <w:rFonts w:ascii="Courier New" w:hAnsi="Courier New"/>
          <w:sz w:val="28"/>
        </w:rPr>
        <w:t>: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Топографически выделяют передний и задний треугльники.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Передний треугольник образован срединной линие шеи, нижним краем нижней челюсти и передним краем грудино-ключично-сосцевидной мышцы. В передний треугольни входят поднижнечелюстной, подбородочный, верхне-сонный и нижне-сонный треугольники.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Задний треугольник образован задним краем грудино-ключично-сосцевидной, передним краем трапецивидной мышцы и ключицы. В нем выделяют надключичный и затылочный треугольники.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Фасции шеи (по В.Н. Шевкуненко).</w:t>
      </w:r>
    </w:p>
    <w:p w:rsidR="000C4523" w:rsidRDefault="000C4523">
      <w:pPr>
        <w:numPr>
          <w:ilvl w:val="0"/>
          <w:numId w:val="1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Первая фасция шеи (поверхностная) (</w:t>
      </w:r>
      <w:r>
        <w:rPr>
          <w:rFonts w:ascii="Courier New" w:hAnsi="Courier New"/>
          <w:sz w:val="28"/>
          <w:lang w:val="en-US"/>
        </w:rPr>
        <w:t>fascia colli superficialis)</w:t>
      </w:r>
      <w:r>
        <w:rPr>
          <w:rFonts w:ascii="Courier New" w:hAnsi="Courier New"/>
          <w:sz w:val="28"/>
        </w:rPr>
        <w:t xml:space="preserve"> в переднебоковых отделах шеи расщепляется на два листка, между которыми располагается подкожная мышца шеи (</w:t>
      </w:r>
      <w:r>
        <w:rPr>
          <w:rFonts w:ascii="Courier New" w:hAnsi="Courier New"/>
          <w:sz w:val="28"/>
          <w:lang w:val="en-US"/>
        </w:rPr>
        <w:t>m.platysma)</w:t>
      </w:r>
      <w:r>
        <w:rPr>
          <w:rFonts w:ascii="Courier New" w:hAnsi="Courier New"/>
          <w:sz w:val="28"/>
        </w:rPr>
        <w:t>. Под поверхностной фасцией шек расположен слой клетчатки, в котором проходят ветви поверхностной яремной вены.</w:t>
      </w:r>
    </w:p>
    <w:p w:rsidR="000C4523" w:rsidRDefault="000C4523">
      <w:pPr>
        <w:numPr>
          <w:ilvl w:val="0"/>
          <w:numId w:val="1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Вторая (собственная) фасция шеи (</w:t>
      </w:r>
      <w:r>
        <w:rPr>
          <w:rFonts w:ascii="Courier New" w:hAnsi="Courier New"/>
          <w:sz w:val="28"/>
          <w:lang w:val="en-US"/>
        </w:rPr>
        <w:t>fascia colli propria)</w:t>
      </w:r>
      <w:r>
        <w:rPr>
          <w:rFonts w:ascii="Courier New" w:hAnsi="Courier New"/>
          <w:sz w:val="28"/>
        </w:rPr>
        <w:t xml:space="preserve"> охватывает шею в виде футляра. В области грудино-ключично-сосцевидных и трапецепидных мышц она расщепляется на два листка, поверхностный и глубокий, образуя фасциальные влагалища для указанных мышц.</w:t>
      </w:r>
    </w:p>
    <w:p w:rsidR="000C4523" w:rsidRDefault="000C4523">
      <w:pPr>
        <w:numPr>
          <w:ilvl w:val="0"/>
          <w:numId w:val="1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Третья (срединная) фасция (</w:t>
      </w:r>
      <w:r>
        <w:rPr>
          <w:rFonts w:ascii="Courier New" w:hAnsi="Courier New"/>
          <w:sz w:val="28"/>
          <w:lang w:val="en-US"/>
        </w:rPr>
        <w:t>fascia colli media)</w:t>
      </w:r>
      <w:r>
        <w:rPr>
          <w:rFonts w:ascii="Courier New" w:hAnsi="Courier New"/>
          <w:sz w:val="28"/>
        </w:rPr>
        <w:t>, образует влагалища для грудино-подъязычной, щитоподъязычной, грудино-щитовидной мышц.</w:t>
      </w:r>
    </w:p>
    <w:p w:rsidR="000C4523" w:rsidRDefault="000C4523">
      <w:pPr>
        <w:numPr>
          <w:ilvl w:val="0"/>
          <w:numId w:val="12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Четвертая (внутришейная) фасция (</w:t>
      </w:r>
      <w:r>
        <w:rPr>
          <w:rFonts w:ascii="Courier New" w:hAnsi="Courier New"/>
          <w:sz w:val="28"/>
          <w:lang w:val="en-US"/>
        </w:rPr>
        <w:t>fascia endocervicalis)</w:t>
      </w:r>
      <w:r>
        <w:rPr>
          <w:rFonts w:ascii="Courier New" w:hAnsi="Courier New"/>
          <w:sz w:val="28"/>
        </w:rPr>
        <w:t>, делится на париетальный и висцеральный листки (аналогично брюшине или плевре), формируя капсулы для внутренних органов шеи. Висцеральный листок, покрывающий щитовидную железу, отделяет ее от близлежащих паращитовидных желез, возвратных гортанных нервов, трахеи, пищевода, сосудисто-нервного пучка. Выполнение резекций щитовидной железы под висцеральным листком четвертой фасции шеи (субфасциальные резекции) позволяет избежать травмы данных жизенно важных органов.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Лимфатическая система шейной области.</w:t>
      </w:r>
    </w:p>
    <w:p w:rsidR="000C4523" w:rsidRDefault="000C4523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большинство лимфатических узлов входит в цепочки, лежащие вдоль внутренней яремной вены и шейного симпатического сплетения.</w:t>
      </w:r>
    </w:p>
    <w:p w:rsidR="000C4523" w:rsidRDefault="000C4523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Яремную цепочку подразделяют на верхнюю, среднюю и нижнюю группу узлов.</w:t>
      </w:r>
    </w:p>
    <w:p w:rsidR="000C4523" w:rsidRDefault="000C4523">
      <w:pPr>
        <w:numPr>
          <w:ilvl w:val="0"/>
          <w:numId w:val="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Различают следующие группы лимфатических узлов: подбородочная, поднижнечелюстная, поверхностная шейная, позадигортанная, паратрахеальная, передняя лестничная и надключичная.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Методика исследования лимфатических узлов  головы и шеи.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Пальпация лимфатических узлов шеи производится подушечками указательного и среднего пальцев. Больной при этом должен расслабиться, слегка наклонить голову вперед и в сторону, на которой проводится исследование. Можно прощупать лимфатические узлы одновременно на обеих стороных. Подбородочный узел прощупывают одной рукой, удерживая другой голову больного.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Последовательно пальпируются следующие лимфатические узлы: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Предушные - впереди ушной раковины.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Заушные - над сосцевидным отростком.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Затылочные - на задней поверхности черепа у его основания.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Тонзиллярные - в области угла нижней челюсти.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Поднижнечелюстные - посередине между углом нижней челюсти и подбородком. Эти лимфатические узлы отличаются от подчелюстной слюнной железы, имеющей дольчатое строение, меньшими размерами и гладкой поверхностью.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Подбородочные - по средней линии несколько сантиметров кзади от подбородка.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Поверхностные шейные - над грудино-ключично-сосцевидной мышцей.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Задние шейные - вдоль переднего края трапецивидной мышцы.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Глубокие шейные лимфатические узлы - под грудино-ключично-сосцевидной мышцей. Для того чтобы пропальпировать эти лимфатические узлы, следует отвести грудино-ключично-сосцевидную мышцу, обхватив ее пальцами.</w:t>
      </w:r>
    </w:p>
    <w:p w:rsidR="000C4523" w:rsidRDefault="000C4523">
      <w:pPr>
        <w:numPr>
          <w:ilvl w:val="0"/>
          <w:numId w:val="9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Надключичные - между ключицей и ножками грудино-ключично-сосцевидной мышцы.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Необходимо обратить внимание на размеры лимфатических узлов, их форму, подвижность относительно окружающих тканей и друг друга, консистенцию и болезненность при пальпации. В норме лимфатические узлы обычно не увеличены, безболезненны, подвижные относительно друг друга.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Диагностика: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Раннее выявление злокачественной меланомы, в том числе и меланомы головы и шеи, прежде всего зависит от знаний врача и осведомленности пациента. Например, в Австралии принята программа согласно которой  симптомы злокачественных опухолей кожи изучаются в общеобразовательной школе и  профессиональных школах. В ходе этой программы удалось повысить 5-летнюю выживаемость при меланомах  головы и шеи до 81%. Раннему выявлению меланом также способствует биопсия "неясных" образований.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Из анамнеза можно подчеркнуть, что меланома развилась из предсуществующего невуса. Как правило, первые симптомы меланомы - это зуд и небольшое  самопроизвольно останавливающееся кровотечение. Также важнейшими ранними признаками является изменение  размера, плотности,цвета и контура невуса.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Жалобы:</w:t>
      </w:r>
    </w:p>
    <w:p w:rsidR="000C4523" w:rsidRDefault="000C4523">
      <w:pPr>
        <w:numPr>
          <w:ilvl w:val="0"/>
          <w:numId w:val="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На зуд и кровоточивость невуса, или появление на коже пятна, которое незначительно кровоточит.</w:t>
      </w:r>
    </w:p>
    <w:p w:rsidR="000C4523" w:rsidRDefault="000C4523">
      <w:pPr>
        <w:numPr>
          <w:ilvl w:val="0"/>
          <w:numId w:val="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Появление меланомы на лице, особенно у женщин заставляет их обратиться к врачу достаточно рано вследствие косметического дефекта.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Осмотр:</w:t>
      </w:r>
    </w:p>
    <w:p w:rsidR="000C4523" w:rsidRDefault="000C4523">
      <w:pPr>
        <w:numPr>
          <w:ilvl w:val="0"/>
          <w:numId w:val="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Края  и поверхность меланомы часто неправильные.</w:t>
      </w:r>
    </w:p>
    <w:p w:rsidR="000C4523" w:rsidRDefault="000C4523">
      <w:pPr>
        <w:numPr>
          <w:ilvl w:val="0"/>
          <w:numId w:val="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Цвет меланомы может быть от черного до желтовато-коричневого, от прозрачно-серого до красного.</w:t>
      </w:r>
    </w:p>
    <w:p w:rsidR="000C4523" w:rsidRDefault="000C4523">
      <w:pPr>
        <w:numPr>
          <w:ilvl w:val="0"/>
          <w:numId w:val="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 пальпации в коже могут обнаруживаться небольшие узелки по периферии меланомы - саттелиты.</w:t>
      </w:r>
    </w:p>
    <w:p w:rsidR="000C4523" w:rsidRDefault="000C4523">
      <w:pPr>
        <w:numPr>
          <w:ilvl w:val="0"/>
          <w:numId w:val="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Полный осмотр всегда должен включать осмотр прилежащих тканей и обязательно пальпацию региональных лимфатических узлов.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 xml:space="preserve">Типичные виды меланом кожи (данным американских авторов - </w:t>
      </w:r>
      <w:r>
        <w:rPr>
          <w:rFonts w:ascii="Courier New" w:hAnsi="Courier New"/>
          <w:b/>
          <w:i/>
          <w:sz w:val="28"/>
          <w:lang w:val="en-US"/>
        </w:rPr>
        <w:t>Philip Rubin, Clinical Oncology, 1993</w:t>
      </w:r>
      <w:r>
        <w:rPr>
          <w:rFonts w:ascii="Courier New" w:hAnsi="Courier New"/>
          <w:b/>
          <w:i/>
          <w:sz w:val="28"/>
        </w:rPr>
        <w:t>):</w:t>
      </w:r>
    </w:p>
    <w:p w:rsidR="000C4523" w:rsidRDefault="000C4523">
      <w:pPr>
        <w:numPr>
          <w:ilvl w:val="0"/>
          <w:numId w:val="6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Злокачественная лентиговидная меланома. Развивается из  доброкачественных меланотических веснушек Хатчинсона, которые подвергаются частому воздействию солнца (наиболее часто это лицо и шея). Образование растет радиально, бывает нескольких цветов. Растет чаще вертикально.</w:t>
      </w:r>
    </w:p>
    <w:p w:rsidR="000C4523" w:rsidRDefault="000C4523">
      <w:pPr>
        <w:numPr>
          <w:ilvl w:val="0"/>
          <w:numId w:val="6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Поверхностная рассеивающая меланома - наиболее частый тип меланомы (60-70%). Имеет неправильную форму, может различного цвета. Рост происходит и вертикально, и горизонтально. Этот вид меланомы имеет тенденцию к ульцерации и кровотечению.</w:t>
      </w:r>
    </w:p>
    <w:p w:rsidR="000C4523" w:rsidRDefault="000C4523">
      <w:pPr>
        <w:numPr>
          <w:ilvl w:val="0"/>
          <w:numId w:val="6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Узловатая меланома. Основной рост опухоли идет вертикально. Цвет - как правило, темно-синий. Края не выражены. Пациент воспринимает такой вид меланомы как  геморрагический волдырь.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Атипичные локализации меланом:</w:t>
      </w:r>
    </w:p>
    <w:p w:rsidR="000C4523" w:rsidRDefault="000C4523">
      <w:pPr>
        <w:numPr>
          <w:ilvl w:val="0"/>
          <w:numId w:val="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 чернокожих меланомы встречаются на ладонах и подошвах.</w:t>
      </w:r>
    </w:p>
    <w:p w:rsidR="000C4523" w:rsidRDefault="000C4523">
      <w:pPr>
        <w:numPr>
          <w:ilvl w:val="0"/>
          <w:numId w:val="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Подногтевые меланомы: первыми признаками являются паронихии, гнойные заболевания пальцев (симптом Хатчинсона).</w:t>
      </w:r>
    </w:p>
    <w:p w:rsidR="000C4523" w:rsidRDefault="000C4523">
      <w:pPr>
        <w:numPr>
          <w:ilvl w:val="0"/>
          <w:numId w:val="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Слизистые меланомы могут быть неокрашенными или быть различного цвета. Локализуются в коньюктиве, носовой полости, влагалище, в ротовой полости, в слизистой прямой кишки.</w:t>
      </w:r>
    </w:p>
    <w:p w:rsidR="000C4523" w:rsidRDefault="000C4523">
      <w:pPr>
        <w:numPr>
          <w:ilvl w:val="0"/>
          <w:numId w:val="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Гигантские невусы волосистой части головы редко подвергаются озлакочествлению.</w:t>
      </w:r>
    </w:p>
    <w:p w:rsidR="000C4523" w:rsidRDefault="000C4523">
      <w:pPr>
        <w:numPr>
          <w:ilvl w:val="0"/>
          <w:numId w:val="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Отдаленные метастазы (например, в печень) с неизвестным первичным источником.</w:t>
      </w:r>
    </w:p>
    <w:p w:rsidR="000C4523" w:rsidRDefault="000C4523">
      <w:pPr>
        <w:numPr>
          <w:ilvl w:val="0"/>
          <w:numId w:val="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Увеличенные лимфатические узлы шеи при неизвестной первичной локализации опухоли встречается у 10% больных меланомой.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Диагностические процедуры:</w:t>
      </w:r>
    </w:p>
    <w:p w:rsidR="000C4523" w:rsidRDefault="000C4523">
      <w:pPr>
        <w:numPr>
          <w:ilvl w:val="0"/>
          <w:numId w:val="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Эксцизионная биопсия тканей находящихся на крае опухоли. "Лезвенная" биопсия, хотя и удобна, не должна  применяться в диагностике,  так как затрудняет  патогистологическое определение глубины прорастания меланомы в кожу.</w:t>
      </w:r>
    </w:p>
    <w:p w:rsidR="000C4523" w:rsidRDefault="000C4523">
      <w:pPr>
        <w:numPr>
          <w:ilvl w:val="0"/>
          <w:numId w:val="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Определение моноклональные антител (</w:t>
      </w:r>
      <w:r>
        <w:rPr>
          <w:rFonts w:ascii="Courier New" w:hAnsi="Courier New"/>
          <w:sz w:val="28"/>
          <w:lang w:val="en-US"/>
        </w:rPr>
        <w:t>S-300)</w:t>
      </w:r>
      <w:r>
        <w:rPr>
          <w:rFonts w:ascii="Courier New" w:hAnsi="Courier New"/>
          <w:sz w:val="28"/>
        </w:rPr>
        <w:t xml:space="preserve">  - очень чувствительный метод. Этот метод может дополнять данные биопсии при дифференциальной диагностике.</w:t>
      </w:r>
    </w:p>
    <w:p w:rsidR="000C4523" w:rsidRDefault="000C4523">
      <w:pPr>
        <w:numPr>
          <w:ilvl w:val="0"/>
          <w:numId w:val="8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Окраска на меланин также может быть полезна в диагностике меланомы.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Стандартизированный подход в диагностике меланомы (предложенный в США) предполагает следующие диагностические процедуры</w:t>
      </w:r>
      <w:r>
        <w:rPr>
          <w:rFonts w:ascii="Courier New" w:hAnsi="Courier New"/>
          <w:sz w:val="28"/>
        </w:rPr>
        <w:t>:</w:t>
      </w:r>
    </w:p>
    <w:p w:rsidR="000C4523" w:rsidRDefault="000C4523">
      <w:pPr>
        <w:numPr>
          <w:ilvl w:val="0"/>
          <w:numId w:val="2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Сбор анамнеза</w:t>
      </w:r>
    </w:p>
    <w:p w:rsidR="000C4523" w:rsidRDefault="000C4523">
      <w:pPr>
        <w:numPr>
          <w:ilvl w:val="0"/>
          <w:numId w:val="2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Осмотр пациента</w:t>
      </w:r>
    </w:p>
    <w:p w:rsidR="000C4523" w:rsidRDefault="000C4523">
      <w:pPr>
        <w:numPr>
          <w:ilvl w:val="0"/>
          <w:numId w:val="2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Рутинные лабораторные методы обследования, включая исследование биохимического профиля печени.</w:t>
      </w:r>
    </w:p>
    <w:p w:rsidR="000C4523" w:rsidRDefault="000C4523">
      <w:pPr>
        <w:numPr>
          <w:ilvl w:val="0"/>
          <w:numId w:val="2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Рентгенологическое исследование грудной клетки</w:t>
      </w:r>
    </w:p>
    <w:p w:rsidR="000C4523" w:rsidRDefault="000C4523">
      <w:pPr>
        <w:numPr>
          <w:ilvl w:val="0"/>
          <w:numId w:val="2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Компьютерная томография при 2-3 стадии заболевания, а также радиоизотопное исследование костей, мозга, печени.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Лечение: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Принципы хирургического лечения меланомы кожи:</w:t>
      </w:r>
    </w:p>
    <w:p w:rsidR="000C4523" w:rsidRDefault="000C4523">
      <w:pPr>
        <w:numPr>
          <w:ilvl w:val="0"/>
          <w:numId w:val="1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Адекватным является иссечение первичной опухоли  с инвазией до 1.5 мм с подлежащими тканями отступя 1-3 см от края.</w:t>
      </w:r>
    </w:p>
    <w:p w:rsidR="000C4523" w:rsidRDefault="000C4523">
      <w:pPr>
        <w:numPr>
          <w:ilvl w:val="0"/>
          <w:numId w:val="1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 меланомах шеи и головы адекватное иссечение в силу анатомических особенностей становится не возможным, поэтому проводят максимально приближенную к адекватной эксцизию опухоли.</w:t>
      </w:r>
    </w:p>
    <w:p w:rsidR="000C4523" w:rsidRDefault="000C4523">
      <w:pPr>
        <w:numPr>
          <w:ilvl w:val="0"/>
          <w:numId w:val="1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Диссекция лимфатических узлов. Необходимо проводить у всех пациентов у кого пальпаторно  определяется поражение лимфатических узлов. 30% таких пациентов могут быть излечены региональной лимфаденэктомией. Для пациентов  с увеличенными лимфатическими узлами и глубокой инвазией опухоли (более 4 мм) риск отдаленных метастазов очень высок и возможность излечения низка. </w:t>
      </w:r>
    </w:p>
    <w:p w:rsidR="000C4523" w:rsidRDefault="000C4523">
      <w:pPr>
        <w:numPr>
          <w:ilvl w:val="0"/>
          <w:numId w:val="1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Профилактическая диссекция лимфатических узлов. Показана при значительном шансе вовлечения лимфатических узлов  (меланома более 1.5 мм прорастает в глубину кожи. При меланомах шеи и головы (несколько путей оттока лимфы)  профилактическую диссекцию узлов производить не следует, однако такие пациенты должны наблюдаться каждые 1-2 месяца у хирурга. </w:t>
      </w:r>
    </w:p>
    <w:p w:rsidR="000C4523" w:rsidRDefault="000C4523">
      <w:pPr>
        <w:numPr>
          <w:ilvl w:val="0"/>
          <w:numId w:val="10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 поражении лимфатических узлов шеи проводят радикальную шейную лимфаденэктомию (операция Крайля).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Хирургическое лечение метастазов в лимфатических узлах шеи основано на топографических данных о фасциальных листках и футлярах шеи, а  также на особенностях лимфатической системы шеи и закономерностях метастазирования при различных формах и локализациях опухолей головы и шеи. Чаще всего метастазами поражаются глубокие лимфатические узлы шеи, залегающие кнутри от поверхностной фасции. Основной группой глубоких лимфатических узлов является узлы вдоль внутренней яремной вены - так называется внутренняя яремная цепочка. Другие глубокие лимфатические узлы шеи располагаются впереди и ниже подъязычной кости и в зоне бокового треугольника шеи и надключичной области. Для удаления этих метастазов в 1936 году американский хирург Теодор Крайль предложил операцию, принцип которой заключается в одномоментном иссечении шейной клетчатки в следующих границах: средняя линия шеи, ключица, передний край трапецивидной мышцы; со стороны верхних отделов - нижний полюс околоушной слюнной железы, и нижний край нижней челюсти - то есть практически половина шеи. В блок удаляемых тканей кроме клетчатки лимфатических узлов входит грудино-ключично-сосцевидная мышца, внутренняя яремная вена, добавочный нерв, подчелюстная слюнная железа, и нижний полюс околоушной слюнной железы.  Передней стенкой препарата является поверхностная фасция шеи и задней стенкой  является  5 фасция шеи, покрывающая лестничные мышцы. Операция Крайля проводится под наркозом, чаще используется разрезы, предложенные хирургом - онкологом Мартиным - звездчатый разрез. Можно пользоваться </w:t>
      </w:r>
      <w:r>
        <w:rPr>
          <w:rFonts w:ascii="Courier New" w:hAnsi="Courier New"/>
          <w:sz w:val="28"/>
          <w:lang w:val="en-US"/>
        </w:rPr>
        <w:t>Z</w:t>
      </w:r>
      <w:r>
        <w:rPr>
          <w:rFonts w:ascii="Courier New" w:hAnsi="Courier New"/>
          <w:sz w:val="28"/>
        </w:rPr>
        <w:t>-образным разрезом самого Крайля. Этот разрез плох тем, что в углах разреза часто возникает некроз. Разрез Мартина лучше, так как кровоснабжение при этом разрезе лучше. Операцию Крайля обычно проводят с одной стороны, после нее отмечается значительная деформация шеи, наступает атрофия мышц, отвисает плечо за счет поражения добавочного нерва, нарушение иннервации верхнего плечевого пояса. При необходимости через 2-3 недели выполняют операцию Крайля с другой стороны. После смерти Крайля старшего, Крайль младший раскритиковал эту операцию в отношении объема этой операции, и предложил менее травматичную операцию - шейную диссекцию.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Операция Крайля  показана при множественных метастазах в глубокие лимфатические узлы шеи или при метастазах, спаянных с внутренней яремной веной, грудино-ключично-сосцевидной мышцей и со стенками фасциальных  футляров. В настоящее время выполняют чаще шейную диссекцию - удаляют жировую клетчатку шеи (фасциально-футлярное иссечение), удаляют долю щитовидной железы (или более, исходя из принципов онкологии). В тех случаях, когда метастазы прорастают внутреннюю яремную вену, то удаляют дополнительно вену.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Лучевая терапия</w:t>
      </w:r>
      <w:r>
        <w:rPr>
          <w:rFonts w:ascii="Courier New" w:hAnsi="Courier New"/>
          <w:sz w:val="28"/>
        </w:rPr>
        <w:t>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Большинство меланом радиорезистентны. Лучевая терапия в основном не может быть рекомендована для лечения первичной опухоли или региональных метастазов, а также как адъювантная терапия.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Химиотерапия.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Ни один химиотерапевтический препарат или их комбинации не дает четкой регрессии  меланомы с метастазами.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  Дакарбазин является наиболее активным препаратом), активность отмечается у 20-25% пациентов). Средний курс, предполагающий ответ на терапию составляет 4-5 месяцев. В последнее время некоторыми группам исследователей удалось добиться ответ на терапию в 50% случаев при применении комбинации химиотерапевтических средств: дакарбазиа, циспластина, кармустина и тамоксифена.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Иммунотерапия.</w:t>
      </w:r>
    </w:p>
    <w:p w:rsidR="000C4523" w:rsidRDefault="000C4523">
      <w:pPr>
        <w:numPr>
          <w:ilvl w:val="0"/>
          <w:numId w:val="1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Использование интерлейкина-2. Это лечение предусматривает удаление  и разъединение большого количества лимфоцитов с помощью лейкафереза. Затем эти клетки выращивают в лаборатории с их фактором роста - интерлейкином-2. После этого популяцию этих клеток, которые называются лимфокин-активированные клетки киллеры переливают пациенту. Ответ на данную терапию получают в 23% случаев. Длительная ремиссия при таком виде лечения составляет 8%. Однако, недостатком данного метода является высокая токсичность (токсические эффекты отмечаются у 34 - 52% пациентов).</w:t>
      </w:r>
    </w:p>
    <w:p w:rsidR="000C4523" w:rsidRDefault="000C4523">
      <w:pPr>
        <w:numPr>
          <w:ilvl w:val="0"/>
          <w:numId w:val="1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Моноклональные антитела к  антигенам меланомы. Данный метод находится в стадии разработки. Отрицательными сторонами метода является наличие частых аллергических реакций.</w:t>
      </w:r>
    </w:p>
    <w:p w:rsidR="000C4523" w:rsidRDefault="000C4523">
      <w:pPr>
        <w:numPr>
          <w:ilvl w:val="0"/>
          <w:numId w:val="1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Вакцины для индукции активных специфических антител находятся в стадии разработки. В опытах использовались вакцины, полученные из опухолевой ткани меланомы, которые вводились внутрикожно. Ответ на такую терапию был получен в 70% случаев, если вакцина создавалась из клеток опухоли данного пациента.</w:t>
      </w:r>
    </w:p>
    <w:p w:rsidR="000C4523" w:rsidRDefault="000C4523">
      <w:pPr>
        <w:numPr>
          <w:ilvl w:val="0"/>
          <w:numId w:val="1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Препарата интерферона. Ответ на терапию интерфероном составляет 15%. Интерфероны практически не влияют на рецидивы.</w:t>
      </w:r>
    </w:p>
    <w:p w:rsidR="000C4523" w:rsidRDefault="000C4523">
      <w:pPr>
        <w:numPr>
          <w:ilvl w:val="0"/>
          <w:numId w:val="13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Интраопухолевое введение бациллы Кальмета-Геррена позволяет достичь полного излечения меланомы 2 стадии в 67% и выживаемости в 27%.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Прогноз.</w:t>
      </w:r>
    </w:p>
    <w:p w:rsidR="000C4523" w:rsidRDefault="000C4523">
      <w:pPr>
        <w:numPr>
          <w:ilvl w:val="0"/>
          <w:numId w:val="1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Типичная 10 летняя выживаемость более 80% для 1 стадии, 50% и выше - для 2 стадии, 25% - для 3 стадии, и 10% для 4 стадии.</w:t>
      </w:r>
    </w:p>
    <w:p w:rsidR="000C4523" w:rsidRDefault="000C4523">
      <w:pPr>
        <w:numPr>
          <w:ilvl w:val="0"/>
          <w:numId w:val="1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Для поверхностных меланом (менее 1.5 мм инвазии) 5 и 10 летняя выживаемость порядка 95%. При вовлечении в процесс лимфатических узлов 5-летняя выживаемость 30-40%.</w:t>
      </w:r>
    </w:p>
    <w:p w:rsidR="000C4523" w:rsidRDefault="000C4523">
      <w:pPr>
        <w:numPr>
          <w:ilvl w:val="0"/>
          <w:numId w:val="1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 инвазивных меланомах уровень инвазии определяет выживаемость. Присутствие ульцерации уменьшает 5-летнюю выживаемость у пациентов со 2  стадией с 55% до 15%.</w:t>
      </w:r>
    </w:p>
    <w:p w:rsidR="000C4523" w:rsidRDefault="000C4523">
      <w:pPr>
        <w:numPr>
          <w:ilvl w:val="0"/>
          <w:numId w:val="1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Метастазы в региональных лимфатических узлах: при отсутствии метастазов при 1 стадии - выживаемость</w:t>
      </w:r>
      <w:r>
        <w:rPr>
          <w:rFonts w:ascii="Courier New" w:hAnsi="Courier New"/>
          <w:sz w:val="28"/>
          <w:lang w:val="en-US"/>
        </w:rPr>
        <w:t xml:space="preserve"> </w:t>
      </w:r>
      <w:r>
        <w:rPr>
          <w:rFonts w:ascii="Courier New" w:hAnsi="Courier New"/>
          <w:sz w:val="28"/>
        </w:rPr>
        <w:t xml:space="preserve"> по сравнению с 1 стадией и вовлечением в процесс лимфатических узлов падает с 73% до 24%.</w:t>
      </w:r>
    </w:p>
    <w:p w:rsidR="000C4523" w:rsidRDefault="000C4523">
      <w:pPr>
        <w:numPr>
          <w:ilvl w:val="0"/>
          <w:numId w:val="1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Метахронные опухоли с задержкой появления метастаза в 3 года в отличие от синхронных опухолей с рецидивом обладают более худшим прогнозом (64 против 37%). Однако в обоих группах 10 летняя выживаемость порядка 20%.</w:t>
      </w:r>
    </w:p>
    <w:p w:rsidR="000C4523" w:rsidRDefault="000C4523">
      <w:pPr>
        <w:numPr>
          <w:ilvl w:val="0"/>
          <w:numId w:val="1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На выживаемость также влияет количество вовлеченных узлов: при вовлечении в процесс 1 узла 10-летняя выживаемость примерно 60%, в то время как при поражении 4 узлов 10 - летняя выживаемость менее 20%.</w:t>
      </w:r>
    </w:p>
    <w:p w:rsidR="000C4523" w:rsidRDefault="000C4523">
      <w:pPr>
        <w:numPr>
          <w:ilvl w:val="0"/>
          <w:numId w:val="14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Элективная профилактическая нодальная диссекция по данным рандомизированных исследований проведенных в США (</w:t>
      </w:r>
      <w:r>
        <w:rPr>
          <w:rFonts w:ascii="Courier New" w:hAnsi="Courier New"/>
          <w:sz w:val="28"/>
          <w:lang w:val="en-US"/>
        </w:rPr>
        <w:t>Veronesi et al.)</w:t>
      </w:r>
      <w:r>
        <w:rPr>
          <w:rFonts w:ascii="Courier New" w:hAnsi="Courier New"/>
          <w:sz w:val="28"/>
        </w:rPr>
        <w:t xml:space="preserve"> значимых преимуществ данная методика не имеет в отношении глубоких инвазий меланомы.</w:t>
      </w: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Клинические разработки.</w:t>
      </w:r>
    </w:p>
    <w:p w:rsidR="000C4523" w:rsidRDefault="000C4523">
      <w:pPr>
        <w:numPr>
          <w:ilvl w:val="0"/>
          <w:numId w:val="1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Высокодозная химиотерапия комбинированная с аутотрансплантацией костного мозга находится в стадии разработки.</w:t>
      </w:r>
    </w:p>
    <w:p w:rsidR="000C4523" w:rsidRDefault="000C4523">
      <w:pPr>
        <w:numPr>
          <w:ilvl w:val="0"/>
          <w:numId w:val="1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Фракционная лучевая терапия (высокая доза облучения вместо стандартной дозы, но с длительными промежутками между облучением).</w:t>
      </w:r>
    </w:p>
    <w:p w:rsidR="000C4523" w:rsidRDefault="000C4523">
      <w:pPr>
        <w:numPr>
          <w:ilvl w:val="0"/>
          <w:numId w:val="1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Лечение моноклональными антителами конъюгированных с радиоизотопами - метод находится в стадии разработки.</w:t>
      </w:r>
    </w:p>
    <w:p w:rsidR="000C4523" w:rsidRDefault="000C4523">
      <w:pPr>
        <w:numPr>
          <w:ilvl w:val="0"/>
          <w:numId w:val="15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Применение таксола (проводится рандомизированное исследование).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  <w:lang w:val="en-US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b/>
          <w:i/>
          <w:sz w:val="28"/>
        </w:rPr>
      </w:pPr>
      <w:r>
        <w:rPr>
          <w:rFonts w:ascii="Courier New" w:hAnsi="Courier New"/>
          <w:b/>
          <w:i/>
          <w:sz w:val="28"/>
        </w:rPr>
        <w:t>Список использованной литературы.</w:t>
      </w:r>
    </w:p>
    <w:p w:rsidR="000C4523" w:rsidRDefault="000C4523">
      <w:pPr>
        <w:numPr>
          <w:ilvl w:val="0"/>
          <w:numId w:val="1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>TNM классификация злокачественных опухолей, 4 издание, дополненное и переработанное. Под ред. Н.Н. Блинова. UICC: www.uicc.ch</w:t>
      </w:r>
    </w:p>
    <w:p w:rsidR="000C4523" w:rsidRDefault="000C4523">
      <w:pPr>
        <w:numPr>
          <w:ilvl w:val="0"/>
          <w:numId w:val="1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>Ph. Rubin. Clinical Oncology, A Multidisciplinary Approach for Physicians and Students, 7</w:t>
      </w:r>
      <w:r>
        <w:rPr>
          <w:rFonts w:ascii="Courier New" w:hAnsi="Courier New"/>
          <w:sz w:val="28"/>
          <w:vertAlign w:val="superscript"/>
          <w:lang w:val="en-US"/>
        </w:rPr>
        <w:t>th</w:t>
      </w:r>
      <w:r>
        <w:rPr>
          <w:rFonts w:ascii="Courier New" w:hAnsi="Courier New"/>
          <w:sz w:val="28"/>
          <w:lang w:val="en-US"/>
        </w:rPr>
        <w:t xml:space="preserve"> Edition, 1993</w:t>
      </w:r>
    </w:p>
    <w:p w:rsidR="000C4523" w:rsidRDefault="000C4523">
      <w:pPr>
        <w:numPr>
          <w:ilvl w:val="0"/>
          <w:numId w:val="1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Хирургия, руководство для врачей и студентов, под редакцией В.С. Савельева. Геоэтар медицина, 1997 год.</w:t>
      </w:r>
    </w:p>
    <w:p w:rsidR="000C4523" w:rsidRDefault="000C4523">
      <w:pPr>
        <w:numPr>
          <w:ilvl w:val="0"/>
          <w:numId w:val="1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 xml:space="preserve"> Marie E. Wood, Paul Bunn.  Heamatology/Oncology Secrets, 1994 by Hanley and Belfus, Inc.</w:t>
      </w:r>
    </w:p>
    <w:p w:rsidR="000C4523" w:rsidRDefault="000C4523">
      <w:pPr>
        <w:numPr>
          <w:ilvl w:val="0"/>
          <w:numId w:val="1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 xml:space="preserve"> American Joint committee on Staqging and End-results Reporting (AJC) Manual for Staging of Cancer. Chicago, IL: AJC; 1978.</w:t>
      </w:r>
    </w:p>
    <w:p w:rsidR="000C4523" w:rsidRDefault="000C4523">
      <w:pPr>
        <w:numPr>
          <w:ilvl w:val="0"/>
          <w:numId w:val="1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>Clark WHJr.; Goldman LI; Mastrangelo MJ. Human Malignant Melanoma. New York, NY: Grunne and Straton; 1979.</w:t>
      </w:r>
    </w:p>
    <w:p w:rsidR="000C4523" w:rsidRDefault="000C4523">
      <w:pPr>
        <w:numPr>
          <w:ilvl w:val="0"/>
          <w:numId w:val="17"/>
        </w:numPr>
        <w:spacing w:line="360" w:lineRule="auto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  <w:lang w:val="en-US"/>
        </w:rPr>
        <w:t>Лекция по хирургии "Поражение лимфатических узлов шеи"</w:t>
      </w: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</w:p>
    <w:p w:rsidR="000C4523" w:rsidRDefault="000C4523">
      <w:pPr>
        <w:spacing w:line="360" w:lineRule="auto"/>
        <w:jc w:val="both"/>
        <w:rPr>
          <w:rFonts w:ascii="Courier New" w:hAnsi="Courier New"/>
          <w:sz w:val="28"/>
        </w:rPr>
      </w:pPr>
      <w:bookmarkStart w:id="0" w:name="_GoBack"/>
      <w:bookmarkEnd w:id="0"/>
    </w:p>
    <w:sectPr w:rsidR="000C4523">
      <w:headerReference w:type="default" r:id="rId7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4523" w:rsidRDefault="000C4523">
      <w:r>
        <w:separator/>
      </w:r>
    </w:p>
  </w:endnote>
  <w:endnote w:type="continuationSeparator" w:id="0">
    <w:p w:rsidR="000C4523" w:rsidRDefault="000C4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4523" w:rsidRDefault="000C4523">
      <w:r>
        <w:separator/>
      </w:r>
    </w:p>
  </w:footnote>
  <w:footnote w:type="continuationSeparator" w:id="0">
    <w:p w:rsidR="000C4523" w:rsidRDefault="000C45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4523" w:rsidRDefault="000C4523">
    <w:pPr>
      <w:pStyle w:val="a3"/>
      <w:jc w:val="center"/>
      <w:rPr>
        <w:rFonts w:ascii="Courier New" w:hAnsi="Courier New"/>
      </w:rPr>
    </w:pPr>
    <w:r>
      <w:rPr>
        <w:rStyle w:val="a5"/>
        <w:rFonts w:ascii="Courier New" w:hAnsi="Courier New"/>
      </w:rPr>
      <w:fldChar w:fldCharType="begin"/>
    </w:r>
    <w:r>
      <w:rPr>
        <w:rStyle w:val="a5"/>
        <w:rFonts w:ascii="Courier New" w:hAnsi="Courier New"/>
      </w:rPr>
      <w:instrText xml:space="preserve"> PAGE </w:instrText>
    </w:r>
    <w:r>
      <w:rPr>
        <w:rStyle w:val="a5"/>
        <w:rFonts w:ascii="Courier New" w:hAnsi="Courier New"/>
      </w:rPr>
      <w:fldChar w:fldCharType="separate"/>
    </w:r>
    <w:r>
      <w:rPr>
        <w:rStyle w:val="a5"/>
        <w:rFonts w:ascii="Courier New" w:hAnsi="Courier New"/>
        <w:noProof/>
      </w:rPr>
      <w:t>9</w:t>
    </w:r>
    <w:r>
      <w:rPr>
        <w:rStyle w:val="a5"/>
        <w:rFonts w:ascii="Courier New" w:hAnsi="Courier New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27C700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A922DED"/>
    <w:multiLevelType w:val="singleLevel"/>
    <w:tmpl w:val="200840EE"/>
    <w:lvl w:ilvl="0">
      <w:start w:val="1"/>
      <w:numFmt w:val="decimal"/>
      <w:lvlText w:val="%1."/>
      <w:lvlJc w:val="left"/>
      <w:pPr>
        <w:tabs>
          <w:tab w:val="num" w:pos="972"/>
        </w:tabs>
        <w:ind w:left="972" w:hanging="972"/>
      </w:pPr>
      <w:rPr>
        <w:rFonts w:hint="default"/>
      </w:rPr>
    </w:lvl>
  </w:abstractNum>
  <w:abstractNum w:abstractNumId="3">
    <w:nsid w:val="0E755EE2"/>
    <w:multiLevelType w:val="singleLevel"/>
    <w:tmpl w:val="11E4A1E8"/>
    <w:lvl w:ilvl="0">
      <w:numFmt w:val="bullet"/>
      <w:lvlText w:val="-"/>
      <w:lvlJc w:val="left"/>
      <w:pPr>
        <w:tabs>
          <w:tab w:val="num" w:pos="1152"/>
        </w:tabs>
        <w:ind w:left="1152" w:hanging="432"/>
      </w:pPr>
      <w:rPr>
        <w:rFonts w:ascii="Times New Roman" w:hAnsi="Times New Roman" w:hint="default"/>
      </w:rPr>
    </w:lvl>
  </w:abstractNum>
  <w:abstractNum w:abstractNumId="4">
    <w:nsid w:val="12D241A0"/>
    <w:multiLevelType w:val="singleLevel"/>
    <w:tmpl w:val="11E4A1E8"/>
    <w:lvl w:ilvl="0">
      <w:numFmt w:val="bullet"/>
      <w:lvlText w:val="-"/>
      <w:lvlJc w:val="left"/>
      <w:pPr>
        <w:tabs>
          <w:tab w:val="num" w:pos="1152"/>
        </w:tabs>
        <w:ind w:left="1152" w:hanging="432"/>
      </w:pPr>
      <w:rPr>
        <w:rFonts w:ascii="Times New Roman" w:hAnsi="Times New Roman" w:hint="default"/>
      </w:rPr>
    </w:lvl>
  </w:abstractNum>
  <w:abstractNum w:abstractNumId="5">
    <w:nsid w:val="14E014EA"/>
    <w:multiLevelType w:val="singleLevel"/>
    <w:tmpl w:val="38AEC59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6">
    <w:nsid w:val="18C32880"/>
    <w:multiLevelType w:val="singleLevel"/>
    <w:tmpl w:val="DC9E4C7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</w:abstractNum>
  <w:abstractNum w:abstractNumId="7">
    <w:nsid w:val="1F750CA9"/>
    <w:multiLevelType w:val="singleLevel"/>
    <w:tmpl w:val="BB0A1B48"/>
    <w:lvl w:ilvl="0">
      <w:start w:val="1"/>
      <w:numFmt w:val="decimal"/>
      <w:lvlText w:val="%1."/>
      <w:lvlJc w:val="left"/>
      <w:pPr>
        <w:tabs>
          <w:tab w:val="num" w:pos="648"/>
        </w:tabs>
        <w:ind w:left="648" w:hanging="648"/>
      </w:pPr>
      <w:rPr>
        <w:rFonts w:hint="default"/>
      </w:rPr>
    </w:lvl>
  </w:abstractNum>
  <w:abstractNum w:abstractNumId="8">
    <w:nsid w:val="209412EF"/>
    <w:multiLevelType w:val="singleLevel"/>
    <w:tmpl w:val="3372F488"/>
    <w:lvl w:ilvl="0">
      <w:start w:val="1"/>
      <w:numFmt w:val="decimal"/>
      <w:lvlText w:val="%1."/>
      <w:lvlJc w:val="left"/>
      <w:pPr>
        <w:tabs>
          <w:tab w:val="num" w:pos="516"/>
        </w:tabs>
        <w:ind w:left="516" w:hanging="516"/>
      </w:pPr>
      <w:rPr>
        <w:rFonts w:hint="default"/>
      </w:rPr>
    </w:lvl>
  </w:abstractNum>
  <w:abstractNum w:abstractNumId="9">
    <w:nsid w:val="24B870B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252B18BC"/>
    <w:multiLevelType w:val="singleLevel"/>
    <w:tmpl w:val="11E4A1E8"/>
    <w:lvl w:ilvl="0">
      <w:numFmt w:val="bullet"/>
      <w:lvlText w:val="-"/>
      <w:lvlJc w:val="left"/>
      <w:pPr>
        <w:tabs>
          <w:tab w:val="num" w:pos="1152"/>
        </w:tabs>
        <w:ind w:left="1152" w:hanging="432"/>
      </w:pPr>
      <w:rPr>
        <w:rFonts w:ascii="Times New Roman" w:hAnsi="Times New Roman" w:hint="default"/>
      </w:rPr>
    </w:lvl>
  </w:abstractNum>
  <w:abstractNum w:abstractNumId="11">
    <w:nsid w:val="25BD7F17"/>
    <w:multiLevelType w:val="singleLevel"/>
    <w:tmpl w:val="38AEC59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2">
    <w:nsid w:val="25E74B2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2C2B37A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37894F94"/>
    <w:multiLevelType w:val="singleLevel"/>
    <w:tmpl w:val="200840EE"/>
    <w:lvl w:ilvl="0">
      <w:start w:val="1"/>
      <w:numFmt w:val="decimal"/>
      <w:lvlText w:val="%1."/>
      <w:lvlJc w:val="left"/>
      <w:pPr>
        <w:tabs>
          <w:tab w:val="num" w:pos="972"/>
        </w:tabs>
        <w:ind w:left="972" w:hanging="972"/>
      </w:pPr>
      <w:rPr>
        <w:rFonts w:hint="default"/>
      </w:rPr>
    </w:lvl>
  </w:abstractNum>
  <w:abstractNum w:abstractNumId="15">
    <w:nsid w:val="391C343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>
    <w:nsid w:val="3BD0484B"/>
    <w:multiLevelType w:val="singleLevel"/>
    <w:tmpl w:val="2EAAA85A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708"/>
      </w:pPr>
      <w:rPr>
        <w:rFonts w:hint="default"/>
      </w:rPr>
    </w:lvl>
  </w:abstractNum>
  <w:abstractNum w:abstractNumId="17">
    <w:nsid w:val="3F0E383C"/>
    <w:multiLevelType w:val="singleLevel"/>
    <w:tmpl w:val="4372C38A"/>
    <w:lvl w:ilvl="0">
      <w:start w:val="1"/>
      <w:numFmt w:val="decimal"/>
      <w:lvlText w:val="%1."/>
      <w:lvlJc w:val="left"/>
      <w:pPr>
        <w:tabs>
          <w:tab w:val="num" w:pos="1020"/>
        </w:tabs>
        <w:ind w:left="1020" w:hanging="1020"/>
      </w:pPr>
      <w:rPr>
        <w:rFonts w:hint="default"/>
      </w:rPr>
    </w:lvl>
  </w:abstractNum>
  <w:abstractNum w:abstractNumId="18">
    <w:nsid w:val="401769B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42225DE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59D63D8"/>
    <w:multiLevelType w:val="singleLevel"/>
    <w:tmpl w:val="11E4A1E8"/>
    <w:lvl w:ilvl="0">
      <w:numFmt w:val="bullet"/>
      <w:lvlText w:val="-"/>
      <w:lvlJc w:val="left"/>
      <w:pPr>
        <w:tabs>
          <w:tab w:val="num" w:pos="1152"/>
        </w:tabs>
        <w:ind w:left="1152" w:hanging="432"/>
      </w:pPr>
      <w:rPr>
        <w:rFonts w:ascii="Times New Roman" w:hAnsi="Times New Roman" w:hint="default"/>
      </w:rPr>
    </w:lvl>
  </w:abstractNum>
  <w:abstractNum w:abstractNumId="21">
    <w:nsid w:val="55D058F5"/>
    <w:multiLevelType w:val="singleLevel"/>
    <w:tmpl w:val="11E4A1E8"/>
    <w:lvl w:ilvl="0">
      <w:numFmt w:val="bullet"/>
      <w:lvlText w:val="-"/>
      <w:lvlJc w:val="left"/>
      <w:pPr>
        <w:tabs>
          <w:tab w:val="num" w:pos="1152"/>
        </w:tabs>
        <w:ind w:left="1152" w:hanging="432"/>
      </w:pPr>
      <w:rPr>
        <w:rFonts w:ascii="Times New Roman" w:hAnsi="Times New Roman" w:hint="default"/>
      </w:rPr>
    </w:lvl>
  </w:abstractNum>
  <w:abstractNum w:abstractNumId="22">
    <w:nsid w:val="5C9A5B4E"/>
    <w:multiLevelType w:val="singleLevel"/>
    <w:tmpl w:val="0F62A676"/>
    <w:lvl w:ilvl="0">
      <w:start w:val="1"/>
      <w:numFmt w:val="decimal"/>
      <w:lvlText w:val="%1."/>
      <w:lvlJc w:val="left"/>
      <w:pPr>
        <w:tabs>
          <w:tab w:val="num" w:pos="696"/>
        </w:tabs>
        <w:ind w:left="696" w:hanging="696"/>
      </w:pPr>
      <w:rPr>
        <w:rFonts w:hint="default"/>
      </w:rPr>
    </w:lvl>
  </w:abstractNum>
  <w:abstractNum w:abstractNumId="23">
    <w:nsid w:val="5FA21AE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61CB757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7822571"/>
    <w:multiLevelType w:val="singleLevel"/>
    <w:tmpl w:val="11E4A1E8"/>
    <w:lvl w:ilvl="0">
      <w:numFmt w:val="bullet"/>
      <w:lvlText w:val="-"/>
      <w:lvlJc w:val="left"/>
      <w:pPr>
        <w:tabs>
          <w:tab w:val="num" w:pos="1152"/>
        </w:tabs>
        <w:ind w:left="1152" w:hanging="432"/>
      </w:pPr>
      <w:rPr>
        <w:rFonts w:ascii="Times New Roman" w:hAnsi="Times New Roman" w:hint="default"/>
      </w:rPr>
    </w:lvl>
  </w:abstractNum>
  <w:abstractNum w:abstractNumId="26">
    <w:nsid w:val="68A66C5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70746A85"/>
    <w:multiLevelType w:val="singleLevel"/>
    <w:tmpl w:val="38AEC59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8">
    <w:nsid w:val="71F059C4"/>
    <w:multiLevelType w:val="singleLevel"/>
    <w:tmpl w:val="D6A29BD2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</w:abstractNum>
  <w:abstractNum w:abstractNumId="29">
    <w:nsid w:val="725F731A"/>
    <w:multiLevelType w:val="singleLevel"/>
    <w:tmpl w:val="11E4A1E8"/>
    <w:lvl w:ilvl="0">
      <w:numFmt w:val="bullet"/>
      <w:lvlText w:val="-"/>
      <w:lvlJc w:val="left"/>
      <w:pPr>
        <w:tabs>
          <w:tab w:val="num" w:pos="1152"/>
        </w:tabs>
        <w:ind w:left="1152" w:hanging="432"/>
      </w:pPr>
      <w:rPr>
        <w:rFonts w:ascii="Times New Roman" w:hAnsi="Times New Roman" w:hint="default"/>
      </w:rPr>
    </w:lvl>
  </w:abstractNum>
  <w:abstractNum w:abstractNumId="30">
    <w:nsid w:val="729633B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>
    <w:nsid w:val="75C146B4"/>
    <w:multiLevelType w:val="singleLevel"/>
    <w:tmpl w:val="6338E272"/>
    <w:lvl w:ilvl="0">
      <w:start w:val="1"/>
      <w:numFmt w:val="decimal"/>
      <w:lvlText w:val="%1."/>
      <w:lvlJc w:val="left"/>
      <w:pPr>
        <w:tabs>
          <w:tab w:val="num" w:pos="528"/>
        </w:tabs>
        <w:ind w:left="528" w:hanging="528"/>
      </w:pPr>
      <w:rPr>
        <w:rFonts w:hint="default"/>
      </w:rPr>
    </w:lvl>
  </w:abstractNum>
  <w:abstractNum w:abstractNumId="32">
    <w:nsid w:val="77EB48A0"/>
    <w:multiLevelType w:val="singleLevel"/>
    <w:tmpl w:val="B6EE3D1C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</w:abstractNum>
  <w:num w:numId="1">
    <w:abstractNumId w:val="1"/>
  </w:num>
  <w:num w:numId="2">
    <w:abstractNumId w:val="19"/>
  </w:num>
  <w:num w:numId="3">
    <w:abstractNumId w:val="21"/>
  </w:num>
  <w:num w:numId="4">
    <w:abstractNumId w:val="31"/>
  </w:num>
  <w:num w:numId="5">
    <w:abstractNumId w:val="28"/>
  </w:num>
  <w:num w:numId="6">
    <w:abstractNumId w:val="8"/>
  </w:num>
  <w:num w:numId="7">
    <w:abstractNumId w:val="22"/>
  </w:num>
  <w:num w:numId="8">
    <w:abstractNumId w:val="16"/>
  </w:num>
  <w:num w:numId="9">
    <w:abstractNumId w:val="6"/>
  </w:num>
  <w:num w:numId="10">
    <w:abstractNumId w:val="23"/>
  </w:num>
  <w:num w:numId="1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  <w:b w:val="0"/>
          <w:i w:val="0"/>
          <w:sz w:val="20"/>
          <w:u w:val="none"/>
        </w:rPr>
      </w:lvl>
    </w:lvlOverride>
  </w:num>
  <w:num w:numId="12">
    <w:abstractNumId w:val="13"/>
  </w:num>
  <w:num w:numId="13">
    <w:abstractNumId w:val="17"/>
  </w:num>
  <w:num w:numId="14">
    <w:abstractNumId w:val="7"/>
  </w:num>
  <w:num w:numId="15">
    <w:abstractNumId w:val="2"/>
  </w:num>
  <w:num w:numId="16">
    <w:abstractNumId w:val="14"/>
  </w:num>
  <w:num w:numId="17">
    <w:abstractNumId w:val="18"/>
  </w:num>
  <w:num w:numId="18">
    <w:abstractNumId w:val="12"/>
  </w:num>
  <w:num w:numId="19">
    <w:abstractNumId w:val="5"/>
  </w:num>
  <w:num w:numId="20">
    <w:abstractNumId w:val="27"/>
  </w:num>
  <w:num w:numId="21">
    <w:abstractNumId w:val="15"/>
  </w:num>
  <w:num w:numId="22">
    <w:abstractNumId w:val="24"/>
  </w:num>
  <w:num w:numId="23">
    <w:abstractNumId w:val="26"/>
  </w:num>
  <w:num w:numId="24">
    <w:abstractNumId w:val="11"/>
  </w:num>
  <w:num w:numId="25">
    <w:abstractNumId w:val="30"/>
  </w:num>
  <w:num w:numId="26">
    <w:abstractNumId w:val="9"/>
  </w:num>
  <w:num w:numId="27">
    <w:abstractNumId w:val="32"/>
  </w:num>
  <w:num w:numId="28">
    <w:abstractNumId w:val="29"/>
  </w:num>
  <w:num w:numId="29">
    <w:abstractNumId w:val="3"/>
  </w:num>
  <w:num w:numId="30">
    <w:abstractNumId w:val="20"/>
  </w:num>
  <w:num w:numId="31">
    <w:abstractNumId w:val="4"/>
  </w:num>
  <w:num w:numId="32">
    <w:abstractNumId w:val="25"/>
  </w:num>
  <w:num w:numId="3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C4523"/>
    <w:rsid w:val="000C4523"/>
    <w:rsid w:val="00AF1CCA"/>
    <w:rsid w:val="00F35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92340F-8E81-49F9-BF09-6901F96BD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3183</Words>
  <Characters>18146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Злокачественные опухоли кожи</vt:lpstr>
    </vt:vector>
  </TitlesOfParts>
  <Company>Мой оффис</Company>
  <LinksUpToDate>false</LinksUpToDate>
  <CharactersWithSpaces>21287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Злокачественные опухоли кожи</dc:title>
  <dc:subject/>
  <dc:creator>Красножон Дмитрий</dc:creator>
  <cp:keywords/>
  <cp:lastModifiedBy>admin</cp:lastModifiedBy>
  <cp:revision>2</cp:revision>
  <dcterms:created xsi:type="dcterms:W3CDTF">2014-03-30T09:01:00Z</dcterms:created>
  <dcterms:modified xsi:type="dcterms:W3CDTF">2014-03-30T09:01:00Z</dcterms:modified>
</cp:coreProperties>
</file>