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02" w:rsidRDefault="00C40902" w:rsidP="004B6BC5">
      <w:pPr>
        <w:spacing w:before="120"/>
        <w:jc w:val="center"/>
        <w:rPr>
          <w:b/>
          <w:bCs/>
          <w:sz w:val="32"/>
          <w:szCs w:val="32"/>
        </w:rPr>
      </w:pPr>
    </w:p>
    <w:p w:rsidR="004B6BC5" w:rsidRPr="00533E43" w:rsidRDefault="004B6BC5" w:rsidP="004B6BC5">
      <w:pPr>
        <w:spacing w:before="120"/>
        <w:jc w:val="center"/>
        <w:rPr>
          <w:b/>
          <w:bCs/>
          <w:sz w:val="32"/>
          <w:szCs w:val="32"/>
        </w:rPr>
      </w:pPr>
      <w:r w:rsidRPr="00533E43">
        <w:rPr>
          <w:b/>
          <w:bCs/>
          <w:sz w:val="32"/>
          <w:szCs w:val="32"/>
        </w:rPr>
        <w:t xml:space="preserve">Определение потребности в трудовых, материальных и финансовых ресурсах для выполнения производственной программы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Производственная программа предприятия для своего осуществления должна быть обеспечена необходимыми ресурсами, к которым относятся средства на оплату труда персонала, закупку сырья, материалов, полуфабрикатов, горюче-смазочных материалов и т.п. Удовлетворение потребностей производства возможно при наличии финансовых ресурсов в виде оборотных средств предприятия, формируемых при успешном ведении хозяйственной деятельности из финансовых поступлений (выручка, запасы, недвижимость, продукция на продажу, пакеты ценных бумаг и т.п.) в необходимые платежи.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В системе планов предприятия его ресурсные потребности для выполнения производственной программы отражаются в формах: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плана по труду и заработной плате;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плана материально-технического снабжения;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>плана себестоимости, прибыли и рентабельности.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Рассмотрим порядок формирования планов на примере цеха полихлорвиниловых смол химического предприятия. В связи со значительными колебаниями курса рубля в период перехода к рыночным ценам, а также в связи с деноминацией рубля с 1.01.98 года стоимостные данные примера следует воспринимать как примерные (условные), в т.ч. по оплате труда.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План по труду и заработной плате включает в себя расчет численности основного и цехового персонала с учетом сменности его работы, на основе которого определяется размер планового фонда оплаты труда работников.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Расчет потребного количества рабочих проводится по соотношению: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4.5pt;height:37.5pt">
            <v:imagedata r:id="rId5" o:title=""/>
          </v:shape>
        </w:pict>
      </w:r>
      <w:r w:rsidR="004B6BC5" w:rsidRPr="00533E43">
        <w:t xml:space="preserve">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</w:t>
      </w:r>
      <w:r w:rsidR="00DA1AD7">
        <w:pict>
          <v:shape id="_x0000_i1050" type="#_x0000_t75" style="width:21.75pt;height:18.75pt">
            <v:imagedata r:id="rId6" o:title=""/>
          </v:shape>
        </w:pict>
      </w:r>
      <w:r w:rsidRPr="00533E43">
        <w:t xml:space="preserve">– явочная численность рабочих в смену (чел.); А – количество однотипных аппаратов (шт.); Нобсл – норма обслуживания – количество аппаратов, машин, агрегатов, которое может обслужить 1 рабочий за смену (ед.).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Явочное количество рабочих в сутки: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53" type="#_x0000_t75" style="width:76.5pt;height:18.75pt">
            <v:imagedata r:id="rId7" o:title=""/>
          </v:shape>
        </w:pict>
      </w:r>
      <w:r w:rsidR="004B6BC5" w:rsidRPr="00533E43">
        <w:t xml:space="preserve">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С – количество рабочих смен в сутки.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Численность рабочих с учетом подмены называется списочной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сут см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56" type="#_x0000_t75" style="width:88.5pt;height:21pt">
            <v:imagedata r:id="rId8" o:title=""/>
          </v:shape>
        </w:pict>
      </w:r>
      <w:r w:rsidR="004B6BC5" w:rsidRPr="00533E43">
        <w:t xml:space="preserve">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Кпер – коэффициент перехода от явочной численности к списочной. Он равен для непрерывных производств: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59" type="#_x0000_t75" style="width:61.5pt;height:39pt">
            <v:imagedata r:id="rId9" o:title=""/>
          </v:shape>
        </w:pict>
      </w:r>
      <w:r w:rsidR="004B6BC5" w:rsidRPr="00533E43">
        <w:t xml:space="preserve">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Ткал – календарный фонд времени в днях.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Эффективный фонд времени одного рабочего определяется по балансу рабочего времени, приведенному в табл. 4 для условий непрерывного производства, работающего в три смены при 8 – часовой продолжительности рабочего дня.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Таблица 4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Примерный баланс времени на одного рабочего (в днях)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573"/>
        <w:gridCol w:w="2188"/>
      </w:tblGrid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Статьи баланса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 (в днях)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Календарное время (Ткал)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365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Выходные дни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89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Праздничные дни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-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Номинальный фонд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276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Невыходы: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отпуск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болезни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9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декретный отпуск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-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Выполнение государственных обязанностей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Итого невыходов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137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8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Эффективное время работы одного рабочего (Тэф)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228</w:t>
            </w:r>
          </w:p>
        </w:tc>
      </w:tr>
    </w:tbl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При Ткал = 365, Тэф = 228 имеем Кпер = 365: 228 = 1,6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Для аппаратчика испарения: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при Нобсл = 30 ед. и А = 30 ед. имеем: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62" type="#_x0000_t75" style="width:21.75pt;height:18.75pt">
            <v:imagedata r:id="rId6" o:title=""/>
          </v:shape>
        </w:pict>
      </w:r>
      <w:r w:rsidR="004B6BC5" w:rsidRPr="00533E43">
        <w:t xml:space="preserve">= 30 / 30 = 1 (чел); </w:t>
      </w:r>
      <w:r>
        <w:pict>
          <v:shape id="_x0000_i1065" type="#_x0000_t75" style="width:24.75pt;height:18.75pt">
            <v:imagedata r:id="rId10" o:title=""/>
          </v:shape>
        </w:pict>
      </w:r>
      <w:r w:rsidR="004B6BC5" w:rsidRPr="00533E43">
        <w:t xml:space="preserve">= 1 * 3 = 3 (чел).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Чсм = 3 * 1,6 = 4,8. (Принимаем Чспис = 4 чел.).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Данные расчета по всем профессиям персонала сводятся в табл. 5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Таблица 5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Расчет численности персонала цеха ПХВС – I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49"/>
        <w:gridCol w:w="1339"/>
        <w:gridCol w:w="1355"/>
        <w:gridCol w:w="1005"/>
        <w:gridCol w:w="884"/>
        <w:gridCol w:w="947"/>
        <w:gridCol w:w="1172"/>
        <w:gridCol w:w="1110"/>
      </w:tblGrid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Разряд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Нобсл, ед.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DA1AD7" w:rsidP="002E23B8">
            <w:pPr>
              <w:jc w:val="both"/>
            </w:pPr>
            <w:r>
              <w:pict>
                <v:shape id="_x0000_i1068" type="#_x0000_t75" style="width:17.25pt;height:12.75pt">
                  <v:imagedata r:id="rId11" o:title=""/>
                </v:shape>
              </w:pict>
            </w:r>
            <w:r w:rsidR="004B6BC5" w:rsidRPr="00533E43">
              <w:t>, чел.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С, смен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DA1AD7" w:rsidP="002E23B8">
            <w:pPr>
              <w:jc w:val="both"/>
            </w:pPr>
            <w:r>
              <w:pict>
                <v:shape id="_x0000_i1071" type="#_x0000_t75" style="width:14.25pt;height:13.5pt">
                  <v:imagedata r:id="rId12" o:title=""/>
                </v:shape>
              </w:pict>
            </w:r>
            <w:r w:rsidR="004B6BC5" w:rsidRPr="00533E43">
              <w:t>, чел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Кпер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Чсп, чел.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1. Основные рабочие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испарения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испарения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15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Машинист компрес. установки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1,6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Подмена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хлорирования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хлорирования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перегонки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перегонки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осушки газа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3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абсорбции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хлорирования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Подмена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полимеризации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полимеризации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полимеризации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центрифуг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центрифуг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1,6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десорбции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гранулирования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рассева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15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10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чистки газа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Аппаратчик обессоливания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Укладчик-упаковщик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Подмена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2. Ремонтные рабочие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3. Вспомогательные рабочие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9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Всего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235</w:t>
            </w:r>
          </w:p>
        </w:tc>
      </w:tr>
    </w:tbl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Фонд оплаты труда рабочих определяется по следующим соотношениям: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>оплата за труд (тарифный фонд):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Фт = ТCi * ЧCПi * ТЭФi,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ТСi – тарифная ставка (часовая, дневная) рабочего i-ого разряда, руб.; ЧCПi – списочная численность рабочих i-ого разряда, чел.; ТЭФi – эффективный фонд рабочего времени по балансу (часов или дней).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надбавки и доплаты(в соответствии с положением об оплате труда предприятия):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надбавки за работу в ночное время определяются при непрерывном режиме производства в размере 13,33% к фонду оплаты по тарифным ставкам;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доплаты за работу в вечернюю смену – 6,67% тарифного фонда;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>доплаты за работу в праздничные дни составляют 2,46% тарифного фонда.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Тарифный фонд в сумме с доплатами и надбавками может служить основой для расчета среднедневного заработка, по которому оплачиваются дни очередных и учебных отпусков и дни выполнения государственных обязанностей.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Зарплата среднедневная: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74" type="#_x0000_t75" style="width:108.75pt;height:39pt">
            <v:imagedata r:id="rId13" o:title=""/>
          </v:shape>
        </w:pict>
      </w:r>
      <w:r w:rsidR="004B6BC5" w:rsidRPr="00533E43">
        <w:t xml:space="preserve">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Фт – тарифный фонд оплаты, руб.; Д – доплаты и надбавки, руб.; П – премии, руб.(по данным предприятия); Тэф – эффективный фонд времени по балансу, дней; Чспис. – списочная численность рабочих.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Например, для аппаратчика испарения 5 разряда: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77" type="#_x0000_t75" style="width:362.25pt;height:34.5pt">
            <v:imagedata r:id="rId14" o:title=""/>
          </v:shape>
        </w:pic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Доплата за отпуск и выполнение государственных обязанностей для одного рабочего составляет: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(38 + 1) * 9,27 * 0,635 = 229,57 руб.,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0,635 – корректирующий коэффициент предприятия (принят постоянным для всех профессий, но может иметь дифференцированные значения).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Доплата за отпуск и выполнение государственных обязанностей для группы рабочих аппаратчиков испарения составит: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229,57 * 4 = 918,28 руб.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Годовой ФОТ равен сумме тарифного фонда, доплат, надбавок, премий и оплаты за отпуск и выполнение государственных обязанностей: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ФОТгод = 6192,48 + 825,46 + 413,04 + 152,34 + 866,95 + 918,28 = 9368,54 руб.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Среднегодовая зарплата одного аппаратчика испарения: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80" type="#_x0000_t75" style="width:254.25pt;height:37.5pt">
            <v:imagedata r:id="rId15" o:title=""/>
          </v:shape>
        </w:pic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Для всех профессий расчет повторяется и сводится в табл. 6. Для ремонтных и вспомогательных рабочих в расчете приняты усредненные значения тарифного разряда и дневной тарифной ставки в целях сокращения примера. </w:t>
      </w:r>
    </w:p>
    <w:p w:rsidR="004B6BC5" w:rsidRDefault="004B6BC5" w:rsidP="004B6BC5">
      <w:pPr>
        <w:spacing w:before="120"/>
        <w:ind w:firstLine="567"/>
        <w:jc w:val="both"/>
      </w:pPr>
      <w:r w:rsidRPr="00533E43">
        <w:t xml:space="preserve">Таблица 6 </w:t>
      </w:r>
    </w:p>
    <w:p w:rsidR="004B6BC5" w:rsidRDefault="004B6BC5" w:rsidP="004B6BC5">
      <w:pPr>
        <w:spacing w:before="120"/>
        <w:ind w:firstLine="567"/>
        <w:jc w:val="both"/>
      </w:pPr>
      <w:r w:rsidRPr="00533E43">
        <w:t xml:space="preserve">Расчет фонда оплаты труда рабочих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Система оплаты: повременно-премиальная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Данная таблица не вошла в электронную версию книги из-за большого размера (cfin.ru)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Фонд оплаты труда руководителей и специалистов цеха определяется на основании численности данной категории персонала, должностных окладов и размеров премий, надбавок, доплат.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Фонд оплаты по должностным окладам определяется как произведение месячного оклада и числа единиц месяцев в году. Премия рассчитывается в размере 30% от фонда оплаты по должностным окладам (плановая оценка).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Годовой ФОТ для цехового персонала определяется как сумма ФОТ по должностным окладам и премий, надбавок для соответствующей должности.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Например, для начальника цеха годовой фонд оплаты труда составляет при окладе 200 руб. в месяц: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83" type="#_x0000_t75" style="width:234pt;height:27.75pt">
            <v:imagedata r:id="rId16" o:title=""/>
          </v:shape>
        </w:pic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Премия: П = 2400 * 0,3 = 720 р.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86" type="#_x0000_t75" style="width:158.25pt;height:27.75pt">
            <v:imagedata r:id="rId17" o:title=""/>
          </v:shape>
        </w:pic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Расчет для остального персонала цеха проводится аналогично. Данные расчета сводятся в таблицу 7. </w:t>
      </w:r>
    </w:p>
    <w:p w:rsidR="004B6BC5" w:rsidRDefault="004B6BC5" w:rsidP="004B6BC5">
      <w:pPr>
        <w:spacing w:before="120"/>
        <w:ind w:firstLine="567"/>
        <w:jc w:val="both"/>
      </w:pPr>
      <w:r w:rsidRPr="00533E43">
        <w:t xml:space="preserve">Таблица 7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Расчет фонда оплаты труда цехового персонала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67"/>
        <w:gridCol w:w="1821"/>
        <w:gridCol w:w="1602"/>
        <w:gridCol w:w="1550"/>
        <w:gridCol w:w="1413"/>
        <w:gridCol w:w="1408"/>
      </w:tblGrid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Должность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Численность по штату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Месячный оклад, руб.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ФОТ по должностным окладам за год, руб.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Премии, надбавки, руб.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Годовой ФОТ, руб.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Начальник цеха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2400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3120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Заместитель начальника цеха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2160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648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2808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Энергетик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160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1920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576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2496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Механик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170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2040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576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2616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Начальник отделения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170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6120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1102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7222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Инженер-химик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135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1620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486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2106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Нормировщик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1560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468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2028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Старший мастер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165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1980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594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2574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КИПиА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Сменные мастера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140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23520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7056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30576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0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Итого по цеху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43320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55546</w:t>
            </w:r>
          </w:p>
        </w:tc>
      </w:tr>
    </w:tbl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План материально-технического снабжения определяет потребность цеха в материально-технических ресурсах. Исходные данные для расчета годовой потребности в сырье, материалах, топливе, энергии: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плановые расходные нормы по всем видам материальных энергетических ресурсов;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>годовой объем производства продукции.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>Итоговая потребность каждого из ресурсов (табл. 8) рассчитывается, как произведение объема производства (Вг) на норму потребности ресурса в год (</w:t>
      </w:r>
      <w:r w:rsidR="00DA1AD7">
        <w:pict>
          <v:shape id="_x0000_i1089" type="#_x0000_t75" style="width:22.5pt;height:18.75pt">
            <v:imagedata r:id="rId18" o:title=""/>
          </v:shape>
        </w:pict>
      </w:r>
      <w:r w:rsidRPr="00533E43">
        <w:t xml:space="preserve">):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ПР = Вг * </w:t>
      </w:r>
      <w:r w:rsidR="00DA1AD7">
        <w:pict>
          <v:shape id="_x0000_i1092" type="#_x0000_t75" style="width:22.5pt;height:18.75pt">
            <v:imagedata r:id="rId18" o:title=""/>
          </v:shape>
        </w:pict>
      </w:r>
      <w:r w:rsidRPr="00533E43">
        <w:t xml:space="preserve">(т/год),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ПР – годовая потребность материального ресурса (т/год).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Таблица 8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Расчет потребности в сырье, материалах, топливе и энергии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97"/>
        <w:gridCol w:w="1667"/>
        <w:gridCol w:w="1677"/>
        <w:gridCol w:w="1710"/>
        <w:gridCol w:w="2110"/>
      </w:tblGrid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Наименование сырья, материалов, </w:t>
            </w:r>
          </w:p>
          <w:p w:rsidR="004B6BC5" w:rsidRPr="00533E43" w:rsidRDefault="004B6BC5" w:rsidP="002E23B8">
            <w:pPr>
              <w:jc w:val="both"/>
            </w:pPr>
            <w:r w:rsidRPr="00533E43">
              <w:t>топлива, энергии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Единица измерения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Норма расхода на ед. продукции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Объем производства, т/год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Потребность, т/год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1. Материалы: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Порофор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51010,2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Диоктилфтолат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0,45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15303,06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2.Сырье и основные материалы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Дифенилпропан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0.12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4080,816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Метилцеллюлоза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0,64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21764,352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Ионол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0,061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2074,415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Фосфит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20404,08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3. Полуфабрикаты: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Винилхлорид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1,12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34006,8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38087,616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Хлористый кальций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2,1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71414,28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Азот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тм3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0,265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8977,795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Сода каустическая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0,065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2210,442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Мешки бумажные для отсева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шт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1700340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Мешки бумажные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шт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1462292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Спирт этиловый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л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0,141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7494,959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4. Топливо: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Природный газ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тм3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0,096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3264,653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5. Энергоносители: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Электроэнергия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кВч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598,6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20356470,48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Пар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Гк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1,655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56281,254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Вода промышленная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м3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184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6257251,2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Вода очищенная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м3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5,2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176835,36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Воздух пневмотранспорта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м3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1,32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44888,976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Воздух для КИПиА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тм3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0,91250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31031,205</w:t>
            </w:r>
          </w:p>
        </w:tc>
      </w:tr>
    </w:tbl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Потребность в электрической и тепловой энергии просчитывается аналогично в единицах кВТ-ч/год и Гкал/год. Стоимостные оценки потребностей в материально-технических ресурсах определяются с учетом оптовых цен и тарифов на энергоносители путем их прямого пересчета (в данном примере – не приводятся).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Тарифы на энергоносители в каждом из регионов России устанавливаются и пересматриваются решениями органов исполнительной власти в порядке, установленном для естественных монополий.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Например, в Тульской области стоимость 1 Гкал тепла в 1998году составляла 159,6 руб.; а 1 кВТ-ч электроэнергии – 0,343 руб.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План по себестоимости, прибыли и рентабельности является основой для систематизации данных о состоянии предприятия для удовлетворения потребностей предприятия в финансовых ресурсах. В расчетах плана определяются амортизационные отчисления, как внутренний источник финансирования, смета цеховых расходов – как общая потребность в средствах на эксплуатацию производства, выручка от реализации продукции – как источник формирования прибыли и фондов предприятия.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Расчет амортизационных отчислений производится от стоимости зданий, сооружений и оборудования, относящихся к основному производству. Амортизация по другим объектам выполнена для приведенного нами примера в комплексных статьях (стоимость ремонта, стоимость транспорта и др.) калькуляции (табл.)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Стоимость зданий, сооружений, оборудования принимается по данным их инвентаризации и переоценки для условий конкретного предприятия. (табл. 9).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Сумма амортизационных отчислений рассчитывается как произведение стоимости основных фондов и нормы амортизации.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Таблица 9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Расчет амортизационных отчислений по основным производственным фондам цеха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47"/>
        <w:gridCol w:w="2017"/>
        <w:gridCol w:w="2116"/>
        <w:gridCol w:w="2581"/>
      </w:tblGrid>
      <w:tr w:rsidR="004B6BC5" w:rsidRPr="00533E43" w:rsidTr="002E23B8">
        <w:trPr>
          <w:tblCellSpacing w:w="0" w:type="dxa"/>
        </w:trPr>
        <w:tc>
          <w:tcPr>
            <w:tcW w:w="1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Вид ОПФ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Стоимость ОПФ, руб.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Норма </w:t>
            </w:r>
          </w:p>
          <w:p w:rsidR="004B6BC5" w:rsidRPr="00533E43" w:rsidRDefault="004B6BC5" w:rsidP="002E23B8">
            <w:pPr>
              <w:jc w:val="both"/>
            </w:pPr>
            <w:r w:rsidRPr="00533E43">
              <w:t>амортизации, %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Сумма амортизационных отчислений, руб.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Производственные здания, сооружения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2937979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1,8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52883,62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Оборудование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3211860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6,2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199135,32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15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ИТОГО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6149839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252018,94</w:t>
            </w:r>
          </w:p>
        </w:tc>
      </w:tr>
    </w:tbl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Расходы по обслуживанию и управлению цехом определяются по смете общих цеховых расходов, которая составляется на основании производственных данных или с использованием укрупненных показателей (табл. 10).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Таблица 10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Смета общецеховых расходов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8"/>
        <w:gridCol w:w="4020"/>
        <w:gridCol w:w="1747"/>
        <w:gridCol w:w="3006"/>
      </w:tblGrid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№ п/п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Статьи расходов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Сумма, руб.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Примечание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Фонд оплаты труда цехового персонала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55546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Отчисления на социальное страхование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21940,67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39,5% от статьи 1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Содержание производственных зданий, сооружений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176278,74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6% от их стоимости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Текущий ремонт зданий, сооружений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73449,47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2,5% от их стоимости (табл. 9)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Капитальный ремонт зданий, сооружений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44069,69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1,5% от их стоимости (табл. 9)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Амортизация производственных зданий, сооружений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52883,62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 соответствии с расчетом табл. 9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Расходы по охране труда </w:t>
            </w:r>
          </w:p>
          <w:p w:rsidR="004B6BC5" w:rsidRPr="00533E43" w:rsidRDefault="004B6BC5" w:rsidP="002E23B8">
            <w:pPr>
              <w:jc w:val="both"/>
            </w:pPr>
            <w:r w:rsidRPr="00533E43">
              <w:t xml:space="preserve">– рабочих </w:t>
            </w:r>
          </w:p>
          <w:p w:rsidR="004B6BC5" w:rsidRPr="00533E43" w:rsidRDefault="004B6BC5" w:rsidP="002E23B8">
            <w:pPr>
              <w:jc w:val="both"/>
            </w:pPr>
            <w:r w:rsidRPr="00533E43">
              <w:t xml:space="preserve">– цехового персонала 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58022,38 </w:t>
            </w:r>
          </w:p>
          <w:p w:rsidR="004B6BC5" w:rsidRPr="00533E43" w:rsidRDefault="004B6BC5" w:rsidP="002E23B8">
            <w:pPr>
              <w:jc w:val="both"/>
            </w:pPr>
            <w:r w:rsidRPr="00533E43">
              <w:t>5554,6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10% от ФОТ всех работающих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Итого по ст. 1-7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487745,17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8.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Износ малоценного и быстроизнашивающегося инвентаря и прочие цеховые расходы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73161,78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15% от расходов по предыдущим статьям (норматив предприятия)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Всего по смете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560906,95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</w:tbl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В результате расчета определяем долю общих цеховых расходов на единицу выпускаемой продукции: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Смета расходов на содержание и обслуживание оборудования формируется по учетным данным предприятия или по укрупненным соотношениям, принятым по нормативным данным, действующим на предприятии (табл. 11).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Таблица 11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Смета расходов на содержание и обслуживание оборудования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81"/>
        <w:gridCol w:w="4137"/>
        <w:gridCol w:w="1855"/>
        <w:gridCol w:w="2688"/>
      </w:tblGrid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№ п/п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Статьи расходов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Сумма, руб.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Примечание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Содержание и расходы по эксплуатации производственного оборудования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1.1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Зарплата рабочих по надзору за оборудованием (дежурный ремонтный персонал)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261278,19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 соответствии с расчетом (табл. 6)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1.2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Отчисления на соцстрах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103204,89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39,5% от ст. 1.1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1.3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Смазочный и обтирочный материалы, мелкие запчасти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26127,82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10% от ст. 1.1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Текущий ремонт оборудования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321186,0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10% от итоговой стоимости (табл. 9)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Капитальный ремонт оборудования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160593,0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5% от итоговой стоимости (табл. 9)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Амортизация оборудования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199135,32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 соответствии с расчетом (табл. 9)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Итого по ст. 1-4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1071525,22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Прочие расходы, связанные с содержанием и эксплуатацией оборудования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160728,78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15% от суммы расходов по ст. 1-4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Всего по смете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1232254,0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</w:tbl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По результатам расчета сметы выявляются плановые расходы на содержание и обслуживание оборудования на единицу выпускаемой продукции: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Калькуляционные статьи расходов себестоимости продукции определяются по форме табл. 12.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Затраты на годовой выпуск продукции рассчитываются следующим образом: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Графа 5: количество = Вг * Нр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Графа 6: сумма = количество * цена на единицу продукции, руб.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Графа 8: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себестоимость единицы продукции = цена на единицу продукции * Нр,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Нр – норма расхода ресурса.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Например, для порофора: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1. Количество затрат на годовой выпуск = 34006,8 * 1,5 = 51010,2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2. Сумма = 51010,2 * 38,63 = 19704,22 руб.,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38,63 – цена на единицу продукции, руб. (для порофора).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3. Доля в себестоимости единицы продукции = норма расхода (цена на единицу продукции = 1,5 * 38,63 = 57,945 руб.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Прибыль от реализации: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 = (Ц – С) (Вг,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Ц – отпускная цена единицы продукции, руб.; С – полная себестоимость единицы продукции, руб.; Вг – годовой выпуск продукции, тн.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Приняв за базовую рыночную цену в планируемом году величину 4960 руб./т, получим: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 = (4960 – 4897,2) (34006,8 = 2135627,04 руб.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Таблица 12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Калькуляция себестоимости продукции ПВХ-С из расчета на 1тн при объеме выпуска продукции 34006,8 т/год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21"/>
        <w:gridCol w:w="2419"/>
        <w:gridCol w:w="862"/>
        <w:gridCol w:w="1012"/>
        <w:gridCol w:w="1277"/>
        <w:gridCol w:w="1380"/>
        <w:gridCol w:w="993"/>
        <w:gridCol w:w="1097"/>
      </w:tblGrid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№ </w:t>
            </w:r>
          </w:p>
          <w:p w:rsidR="004B6BC5" w:rsidRPr="00533E43" w:rsidRDefault="004B6BC5" w:rsidP="002E23B8">
            <w:pPr>
              <w:jc w:val="both"/>
            </w:pPr>
            <w:r w:rsidRPr="00533E43">
              <w:t>п/п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Статьи калькуляции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Еди- </w:t>
            </w:r>
          </w:p>
          <w:p w:rsidR="004B6BC5" w:rsidRPr="00533E43" w:rsidRDefault="004B6BC5" w:rsidP="002E23B8">
            <w:pPr>
              <w:jc w:val="both"/>
            </w:pPr>
            <w:r w:rsidRPr="00533E43">
              <w:t>ница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Цена </w:t>
            </w:r>
          </w:p>
          <w:p w:rsidR="004B6BC5" w:rsidRPr="00533E43" w:rsidRDefault="004B6BC5" w:rsidP="002E23B8">
            <w:pPr>
              <w:jc w:val="both"/>
            </w:pPr>
            <w:r w:rsidRPr="00533E43">
              <w:t>на</w:t>
            </w:r>
          </w:p>
        </w:tc>
        <w:tc>
          <w:tcPr>
            <w:tcW w:w="13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Затраты на годовой выпуск</w:t>
            </w:r>
          </w:p>
        </w:tc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Себестоимость единицы продукции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изме-рения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едини-цу про-дукции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количество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сумма, руб.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норма </w:t>
            </w:r>
          </w:p>
          <w:p w:rsidR="004B6BC5" w:rsidRPr="00533E43" w:rsidRDefault="004B6BC5" w:rsidP="002E23B8">
            <w:pPr>
              <w:jc w:val="both"/>
            </w:pPr>
            <w:r w:rsidRPr="00533E43">
              <w:t>расхода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сумма, руб.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I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Сырье, материалы, полуфабрикаты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1.1.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Сырье и материалы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Порофор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38,63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51010,20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1970422,0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1,5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57,945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Метилцеллюлоза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9,86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81764,352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214531,20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0,64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6,308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Диоктилфтолат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1,81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15303,060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27698,50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0,45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0,815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Дифенилпропан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4080,816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81,62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0,12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0,0024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Ионол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1,93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2074,415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3993,200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0,061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0,117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Фосфит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3,38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20404,080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68904,600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0,203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1.2.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Полуфабрикаты собственного производства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Винилхлорид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3119,39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38087,620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118809951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1,12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 xml:space="preserve">3493,711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Хлористый кальций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кг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0,89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71414,28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63220,220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2,1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1,859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Азот ПБА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тм3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77,270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897,780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69372,0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0,0264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2,040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Сода каустическая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1,002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2210,442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2216,03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0,065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0,065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Итого по ст. 1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227247,05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121230390,2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3563,06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II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Вспомогательные материалы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Мешки для отсевов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шт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1700340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2210442,0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Мешки ламинированные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шт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1462292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1900980,0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43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55,9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Спирт этиловый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л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2,66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4794,96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12745,0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0,141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0,375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Итого по ст. II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3167427,4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4124167,0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121,275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III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Топливо и энергия всех видов на технологические цели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Природный газ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тм3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252,52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3264,653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824380,3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0,096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24,242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Электроэнергия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кВч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0,22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20356471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4476673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598,6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131,632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Пар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Гк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66,4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56281,254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3737694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1,655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109,910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Вода промышленная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0,12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6257251,2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726548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184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21,365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Вода очищенная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6,43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176835,36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1137521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5,2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33,45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Воздух пневмотранспорта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м3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44,95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44888,98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2017728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1,32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59,333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Воздух для КИПиА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тм3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47,14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31031,21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1462965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0,91250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43,020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Итого по ст. III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26926023,2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14383509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422,952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IV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Фонд оплаты труда основных производственных рабочих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тыс. руб.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318945,61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9,379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V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Отчисления на соцстрах (39,5%) от ст. IV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руб.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125983,52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3,705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VI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Расходы на содержание и обслуживание оборудования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руб.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1232254,0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36,236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VII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Цеховые расходы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руб.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560906,95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16,494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Цеховая себестоимость (сумма ст. I-VII)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руб.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141976156,2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4174,934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IX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Общезаводские расходы (15% от цеховой себестоимости)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руб.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21296423,43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626,240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Заводская (производственная) себестоимость (суммы ст. I-IX)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руб.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163272579,6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4801,174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X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Внепроизводственные расходы (2% от завод-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продолжение табл. 12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6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7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ской себестоимости)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3265451,59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96.028</w:t>
            </w:r>
          </w:p>
        </w:tc>
      </w:tr>
      <w:tr w:rsidR="004B6BC5" w:rsidRPr="00533E43" w:rsidTr="002E23B8">
        <w:trPr>
          <w:tblCellSpacing w:w="0" w:type="dxa"/>
        </w:trPr>
        <w:tc>
          <w:tcPr>
            <w:tcW w:w="3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Полная себестоимость (сумма ст. I-X)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166538031,1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>
              <w:t xml:space="preserve">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6BC5" w:rsidRPr="00533E43" w:rsidRDefault="004B6BC5" w:rsidP="002E23B8">
            <w:pPr>
              <w:jc w:val="both"/>
            </w:pPr>
            <w:r w:rsidRPr="00533E43">
              <w:t>4897,2</w:t>
            </w:r>
          </w:p>
        </w:tc>
      </w:tr>
    </w:tbl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Планируемая рентабельность продукции цеха: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95" type="#_x0000_t75" style="width:101.25pt;height:34.5pt">
            <v:imagedata r:id="rId19" o:title=""/>
          </v:shape>
        </w:pict>
      </w:r>
      <w:r w:rsidR="004B6BC5" w:rsidRPr="00533E43">
        <w:t xml:space="preserve">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Ц – цена реализации данного вида продукции, руб./ед.; С – полная себестоимость единицы данного вида продукции, руб./ед.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По данным примера: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098" type="#_x0000_t75" style="width:195.75pt;height:37.5pt">
            <v:imagedata r:id="rId20" o:title=""/>
          </v:shape>
        </w:pict>
      </w:r>
      <w:r w:rsidR="004B6BC5" w:rsidRPr="00533E43">
        <w:t xml:space="preserve">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Уровень рентабельности производства: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101" type="#_x0000_t75" style="width:132.75pt;height:34.5pt">
            <v:imagedata r:id="rId21" o:title=""/>
          </v:shape>
        </w:pict>
      </w:r>
      <w:r w:rsidR="004B6BC5" w:rsidRPr="00533E43">
        <w:t xml:space="preserve">,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где П – годовая прибыль предприятия, руб.; ОПФ – стоимость основных производственных фондов, руб.; ОС – стоимость нормируемых оборотных средств, руб.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Для плановых расчетов рентабельности можно применить отраслевое или сложившееся на предприятии (нормативное) соотношение ОПФ и ОС.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Приняв для рассматриваемого примера соотношение ОПФ = 88%, определим размер оборотных средств: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104" type="#_x0000_t75" style="width:279.75pt;height:34.5pt">
            <v:imagedata r:id="rId22" o:title=""/>
          </v:shape>
        </w:pic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Тогда уровень рентабельности производства ПВХ-С составит: </w:t>
      </w:r>
    </w:p>
    <w:p w:rsidR="004B6BC5" w:rsidRPr="00533E43" w:rsidRDefault="00DA1AD7" w:rsidP="004B6BC5">
      <w:pPr>
        <w:spacing w:before="120"/>
        <w:ind w:firstLine="567"/>
        <w:jc w:val="both"/>
      </w:pPr>
      <w:r>
        <w:pict>
          <v:shape id="_x0000_i1107" type="#_x0000_t75" style="width:238.5pt;height:36.75pt">
            <v:imagedata r:id="rId23" o:title=""/>
          </v:shape>
        </w:pict>
      </w:r>
      <w:r w:rsidR="004B6BC5" w:rsidRPr="00533E43">
        <w:t xml:space="preserve">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Полученные в результате расчетов значения показателей прибыли и рентабельности производства поливинилхлорида можно считать эффективным в планируемом году, достаточно обеспеченным финансовыми ресурсами при условиях осуществления сбыта его продукции. </w:t>
      </w:r>
    </w:p>
    <w:p w:rsidR="004B6BC5" w:rsidRPr="00533E43" w:rsidRDefault="004B6BC5" w:rsidP="004B6BC5">
      <w:pPr>
        <w:spacing w:before="120"/>
        <w:ind w:firstLine="567"/>
        <w:jc w:val="both"/>
      </w:pPr>
      <w:r w:rsidRPr="00533E43">
        <w:t xml:space="preserve">Варьируя ценой продукции на рынке ее сбыта, предприятие определяет тактику финансового взаимодействия с внешней средой в целях реализации планов своего стратегического развития.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259"/>
    <w:multiLevelType w:val="multilevel"/>
    <w:tmpl w:val="0414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2C73CF"/>
    <w:multiLevelType w:val="multilevel"/>
    <w:tmpl w:val="568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A7026"/>
    <w:multiLevelType w:val="multilevel"/>
    <w:tmpl w:val="6D9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0F6BB2"/>
    <w:multiLevelType w:val="multilevel"/>
    <w:tmpl w:val="BC7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7B00D43"/>
    <w:multiLevelType w:val="multilevel"/>
    <w:tmpl w:val="E5CC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7D82B0D"/>
    <w:multiLevelType w:val="multilevel"/>
    <w:tmpl w:val="BB04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87C1D25"/>
    <w:multiLevelType w:val="multilevel"/>
    <w:tmpl w:val="73D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8C760E7"/>
    <w:multiLevelType w:val="multilevel"/>
    <w:tmpl w:val="9BEE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F70795"/>
    <w:multiLevelType w:val="multilevel"/>
    <w:tmpl w:val="28BC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B044EE2"/>
    <w:multiLevelType w:val="multilevel"/>
    <w:tmpl w:val="ECCC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817929"/>
    <w:multiLevelType w:val="multilevel"/>
    <w:tmpl w:val="C032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FC35972"/>
    <w:multiLevelType w:val="multilevel"/>
    <w:tmpl w:val="6AD6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2BC7CBE"/>
    <w:multiLevelType w:val="multilevel"/>
    <w:tmpl w:val="991A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A2384A"/>
    <w:multiLevelType w:val="multilevel"/>
    <w:tmpl w:val="436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9FE6952"/>
    <w:multiLevelType w:val="multilevel"/>
    <w:tmpl w:val="7DE4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A5E5024"/>
    <w:multiLevelType w:val="multilevel"/>
    <w:tmpl w:val="6B8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606337"/>
    <w:multiLevelType w:val="multilevel"/>
    <w:tmpl w:val="04E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2944728"/>
    <w:multiLevelType w:val="multilevel"/>
    <w:tmpl w:val="11AA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78138B5"/>
    <w:multiLevelType w:val="multilevel"/>
    <w:tmpl w:val="554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BB62447"/>
    <w:multiLevelType w:val="multilevel"/>
    <w:tmpl w:val="E14E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F42288A"/>
    <w:multiLevelType w:val="multilevel"/>
    <w:tmpl w:val="BB2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06E3764"/>
    <w:multiLevelType w:val="multilevel"/>
    <w:tmpl w:val="5230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1745E4D"/>
    <w:multiLevelType w:val="multilevel"/>
    <w:tmpl w:val="E954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CE39E7"/>
    <w:multiLevelType w:val="multilevel"/>
    <w:tmpl w:val="17FC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46003CA"/>
    <w:multiLevelType w:val="multilevel"/>
    <w:tmpl w:val="2EA6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9C87DD7"/>
    <w:multiLevelType w:val="multilevel"/>
    <w:tmpl w:val="DCE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01A63E8"/>
    <w:multiLevelType w:val="multilevel"/>
    <w:tmpl w:val="EA5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05C49AB"/>
    <w:multiLevelType w:val="multilevel"/>
    <w:tmpl w:val="F048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2796BDD"/>
    <w:multiLevelType w:val="multilevel"/>
    <w:tmpl w:val="AAA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6CC45BC"/>
    <w:multiLevelType w:val="multilevel"/>
    <w:tmpl w:val="F644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7135B8A"/>
    <w:multiLevelType w:val="multilevel"/>
    <w:tmpl w:val="0B9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8930430"/>
    <w:multiLevelType w:val="multilevel"/>
    <w:tmpl w:val="ADA6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9005A64"/>
    <w:multiLevelType w:val="multilevel"/>
    <w:tmpl w:val="1462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9A45C06"/>
    <w:multiLevelType w:val="multilevel"/>
    <w:tmpl w:val="5BCC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5962B55"/>
    <w:multiLevelType w:val="multilevel"/>
    <w:tmpl w:val="478A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6E97280"/>
    <w:multiLevelType w:val="multilevel"/>
    <w:tmpl w:val="BBCE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5AA532C6"/>
    <w:multiLevelType w:val="multilevel"/>
    <w:tmpl w:val="35E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2F64C83"/>
    <w:multiLevelType w:val="multilevel"/>
    <w:tmpl w:val="F30E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037DCE"/>
    <w:multiLevelType w:val="multilevel"/>
    <w:tmpl w:val="1E84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9332676"/>
    <w:multiLevelType w:val="multilevel"/>
    <w:tmpl w:val="883E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4083AB0"/>
    <w:multiLevelType w:val="multilevel"/>
    <w:tmpl w:val="6DBA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FE0E70"/>
    <w:multiLevelType w:val="multilevel"/>
    <w:tmpl w:val="0DC4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5300377"/>
    <w:multiLevelType w:val="multilevel"/>
    <w:tmpl w:val="5C82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8E6625B"/>
    <w:multiLevelType w:val="multilevel"/>
    <w:tmpl w:val="0C58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E21AE1"/>
    <w:multiLevelType w:val="multilevel"/>
    <w:tmpl w:val="AFB2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ACC351B"/>
    <w:multiLevelType w:val="multilevel"/>
    <w:tmpl w:val="0CC6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8B682F"/>
    <w:multiLevelType w:val="multilevel"/>
    <w:tmpl w:val="1CF4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5"/>
  </w:num>
  <w:num w:numId="3">
    <w:abstractNumId w:val="17"/>
  </w:num>
  <w:num w:numId="4">
    <w:abstractNumId w:val="23"/>
  </w:num>
  <w:num w:numId="5">
    <w:abstractNumId w:val="27"/>
  </w:num>
  <w:num w:numId="6">
    <w:abstractNumId w:val="29"/>
  </w:num>
  <w:num w:numId="7">
    <w:abstractNumId w:val="35"/>
  </w:num>
  <w:num w:numId="8">
    <w:abstractNumId w:val="44"/>
  </w:num>
  <w:num w:numId="9">
    <w:abstractNumId w:val="36"/>
  </w:num>
  <w:num w:numId="10">
    <w:abstractNumId w:val="26"/>
  </w:num>
  <w:num w:numId="11">
    <w:abstractNumId w:val="6"/>
  </w:num>
  <w:num w:numId="12">
    <w:abstractNumId w:val="2"/>
  </w:num>
  <w:num w:numId="13">
    <w:abstractNumId w:val="34"/>
  </w:num>
  <w:num w:numId="14">
    <w:abstractNumId w:val="24"/>
  </w:num>
  <w:num w:numId="15">
    <w:abstractNumId w:val="21"/>
  </w:num>
  <w:num w:numId="16">
    <w:abstractNumId w:val="31"/>
  </w:num>
  <w:num w:numId="17">
    <w:abstractNumId w:val="8"/>
  </w:num>
  <w:num w:numId="18">
    <w:abstractNumId w:val="13"/>
  </w:num>
  <w:num w:numId="19">
    <w:abstractNumId w:val="20"/>
  </w:num>
  <w:num w:numId="20">
    <w:abstractNumId w:val="39"/>
  </w:num>
  <w:num w:numId="21">
    <w:abstractNumId w:val="11"/>
  </w:num>
  <w:num w:numId="22">
    <w:abstractNumId w:val="42"/>
  </w:num>
  <w:num w:numId="23">
    <w:abstractNumId w:val="9"/>
  </w:num>
  <w:num w:numId="24">
    <w:abstractNumId w:val="45"/>
  </w:num>
  <w:num w:numId="25">
    <w:abstractNumId w:val="46"/>
  </w:num>
  <w:num w:numId="26">
    <w:abstractNumId w:val="40"/>
  </w:num>
  <w:num w:numId="27">
    <w:abstractNumId w:val="30"/>
  </w:num>
  <w:num w:numId="28">
    <w:abstractNumId w:val="15"/>
  </w:num>
  <w:num w:numId="29">
    <w:abstractNumId w:val="43"/>
  </w:num>
  <w:num w:numId="30">
    <w:abstractNumId w:val="7"/>
  </w:num>
  <w:num w:numId="31">
    <w:abstractNumId w:val="19"/>
  </w:num>
  <w:num w:numId="32">
    <w:abstractNumId w:val="41"/>
  </w:num>
  <w:num w:numId="33">
    <w:abstractNumId w:val="33"/>
  </w:num>
  <w:num w:numId="34">
    <w:abstractNumId w:val="1"/>
  </w:num>
  <w:num w:numId="35">
    <w:abstractNumId w:val="28"/>
  </w:num>
  <w:num w:numId="36">
    <w:abstractNumId w:val="4"/>
  </w:num>
  <w:num w:numId="37">
    <w:abstractNumId w:val="37"/>
  </w:num>
  <w:num w:numId="38">
    <w:abstractNumId w:val="10"/>
  </w:num>
  <w:num w:numId="39">
    <w:abstractNumId w:val="0"/>
  </w:num>
  <w:num w:numId="40">
    <w:abstractNumId w:val="22"/>
  </w:num>
  <w:num w:numId="41">
    <w:abstractNumId w:val="14"/>
  </w:num>
  <w:num w:numId="42">
    <w:abstractNumId w:val="16"/>
  </w:num>
  <w:num w:numId="43">
    <w:abstractNumId w:val="3"/>
  </w:num>
  <w:num w:numId="44">
    <w:abstractNumId w:val="18"/>
  </w:num>
  <w:num w:numId="45">
    <w:abstractNumId w:val="32"/>
  </w:num>
  <w:num w:numId="46">
    <w:abstractNumId w:val="12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BC5"/>
    <w:rsid w:val="00002B5A"/>
    <w:rsid w:val="0010437E"/>
    <w:rsid w:val="002E23B8"/>
    <w:rsid w:val="003015B9"/>
    <w:rsid w:val="004B6BC5"/>
    <w:rsid w:val="00533E43"/>
    <w:rsid w:val="00616072"/>
    <w:rsid w:val="006A5004"/>
    <w:rsid w:val="00710178"/>
    <w:rsid w:val="008B35EE"/>
    <w:rsid w:val="00905CC1"/>
    <w:rsid w:val="00991108"/>
    <w:rsid w:val="00B42C45"/>
    <w:rsid w:val="00B47B6A"/>
    <w:rsid w:val="00BE7A62"/>
    <w:rsid w:val="00C40902"/>
    <w:rsid w:val="00D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17848F4A-06E0-4BED-9981-34EAC179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6B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B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B6B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4B6B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4B6BC5"/>
    <w:pPr>
      <w:spacing w:before="116" w:after="13"/>
      <w:ind w:left="13" w:right="13"/>
      <w:jc w:val="both"/>
    </w:pPr>
    <w:rPr>
      <w:sz w:val="20"/>
      <w:szCs w:val="20"/>
    </w:rPr>
  </w:style>
  <w:style w:type="character" w:customStyle="1" w:styleId="headsub11">
    <w:name w:val="head_sub11"/>
    <w:uiPriority w:val="99"/>
    <w:rsid w:val="004B6BC5"/>
    <w:rPr>
      <w:b/>
      <w:bCs/>
      <w:color w:val="auto"/>
      <w:sz w:val="20"/>
      <w:szCs w:val="20"/>
    </w:rPr>
  </w:style>
  <w:style w:type="character" w:customStyle="1" w:styleId="text1">
    <w:name w:val="text1"/>
    <w:uiPriority w:val="99"/>
    <w:rsid w:val="004B6BC5"/>
    <w:rPr>
      <w:sz w:val="20"/>
      <w:szCs w:val="20"/>
    </w:rPr>
  </w:style>
  <w:style w:type="character" w:styleId="a4">
    <w:name w:val="footnote reference"/>
    <w:uiPriority w:val="99"/>
    <w:semiHidden/>
    <w:rsid w:val="004B6BC5"/>
  </w:style>
  <w:style w:type="paragraph" w:styleId="32">
    <w:name w:val="Body Text Indent 3"/>
    <w:basedOn w:val="a"/>
    <w:link w:val="33"/>
    <w:uiPriority w:val="99"/>
    <w:rsid w:val="004B6BC5"/>
    <w:pPr>
      <w:spacing w:before="100" w:beforeAutospacing="1" w:after="100" w:afterAutospacing="1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4B6BC5"/>
    <w:pPr>
      <w:spacing w:before="100" w:beforeAutospacing="1" w:after="100" w:afterAutospacing="1"/>
    </w:pPr>
    <w:rPr>
      <w:color w:val="00000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Hyperlink"/>
    <w:uiPriority w:val="99"/>
    <w:rsid w:val="004B6BC5"/>
    <w:rPr>
      <w:color w:val="auto"/>
      <w:u w:val="none"/>
      <w:effect w:val="none"/>
    </w:rPr>
  </w:style>
  <w:style w:type="character" w:styleId="a8">
    <w:name w:val="Strong"/>
    <w:uiPriority w:val="99"/>
    <w:qFormat/>
    <w:rsid w:val="004B6BC5"/>
    <w:rPr>
      <w:b/>
      <w:bCs/>
    </w:rPr>
  </w:style>
  <w:style w:type="paragraph" w:customStyle="1" w:styleId="author">
    <w:name w:val="author"/>
    <w:basedOn w:val="a"/>
    <w:uiPriority w:val="99"/>
    <w:rsid w:val="004B6BC5"/>
    <w:pPr>
      <w:spacing w:before="100" w:beforeAutospacing="1" w:after="100" w:afterAutospacing="1"/>
    </w:pPr>
  </w:style>
  <w:style w:type="paragraph" w:customStyle="1" w:styleId="term">
    <w:name w:val="term"/>
    <w:basedOn w:val="a"/>
    <w:uiPriority w:val="99"/>
    <w:rsid w:val="004B6BC5"/>
    <w:pPr>
      <w:spacing w:before="100" w:beforeAutospacing="1" w:after="100" w:afterAutospacing="1"/>
    </w:pPr>
  </w:style>
  <w:style w:type="paragraph" w:customStyle="1" w:styleId="textright">
    <w:name w:val="text_right"/>
    <w:basedOn w:val="a"/>
    <w:uiPriority w:val="99"/>
    <w:rsid w:val="004B6BC5"/>
    <w:pPr>
      <w:spacing w:before="100" w:beforeAutospacing="1" w:after="100" w:afterAutospacing="1"/>
    </w:pPr>
  </w:style>
  <w:style w:type="paragraph" w:customStyle="1" w:styleId="question">
    <w:name w:val="question"/>
    <w:basedOn w:val="a"/>
    <w:uiPriority w:val="99"/>
    <w:rsid w:val="004B6BC5"/>
    <w:pPr>
      <w:spacing w:before="100" w:beforeAutospacing="1" w:after="100" w:afterAutospacing="1"/>
    </w:pPr>
  </w:style>
  <w:style w:type="character" w:styleId="a9">
    <w:name w:val="Emphasis"/>
    <w:uiPriority w:val="99"/>
    <w:qFormat/>
    <w:rsid w:val="004B6BC5"/>
    <w:rPr>
      <w:i/>
      <w:iCs/>
    </w:rPr>
  </w:style>
  <w:style w:type="paragraph" w:customStyle="1" w:styleId="textcenter">
    <w:name w:val="text_center"/>
    <w:basedOn w:val="a"/>
    <w:uiPriority w:val="99"/>
    <w:rsid w:val="004B6BC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4B6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4B6B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B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28424F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spelle">
    <w:name w:val="spelle"/>
    <w:uiPriority w:val="99"/>
    <w:rsid w:val="004B6BC5"/>
  </w:style>
  <w:style w:type="character" w:customStyle="1" w:styleId="grame">
    <w:name w:val="grame"/>
    <w:uiPriority w:val="99"/>
    <w:rsid w:val="004B6BC5"/>
  </w:style>
  <w:style w:type="character" w:styleId="ae">
    <w:name w:val="FollowedHyperlink"/>
    <w:uiPriority w:val="99"/>
    <w:rsid w:val="004B6BC5"/>
    <w:rPr>
      <w:color w:val="0033CC"/>
      <w:u w:val="none"/>
      <w:effect w:val="none"/>
    </w:rPr>
  </w:style>
  <w:style w:type="paragraph" w:customStyle="1" w:styleId="hd4">
    <w:name w:val="hd4"/>
    <w:basedOn w:val="a"/>
    <w:uiPriority w:val="99"/>
    <w:rsid w:val="004B6BC5"/>
    <w:pPr>
      <w:spacing w:before="100" w:beforeAutospacing="1" w:after="100" w:afterAutospacing="1"/>
    </w:pPr>
    <w:rPr>
      <w:color w:val="336699"/>
      <w:sz w:val="15"/>
      <w:szCs w:val="15"/>
    </w:rPr>
  </w:style>
  <w:style w:type="paragraph" w:customStyle="1" w:styleId="hd3">
    <w:name w:val="hd3"/>
    <w:basedOn w:val="a"/>
    <w:uiPriority w:val="99"/>
    <w:rsid w:val="004B6BC5"/>
    <w:pPr>
      <w:spacing w:before="100" w:beforeAutospacing="1" w:after="100" w:afterAutospacing="1"/>
    </w:pPr>
    <w:rPr>
      <w:color w:val="666666"/>
      <w:sz w:val="22"/>
      <w:szCs w:val="22"/>
    </w:rPr>
  </w:style>
  <w:style w:type="paragraph" w:customStyle="1" w:styleId="mnu">
    <w:name w:val="mnu"/>
    <w:basedOn w:val="a"/>
    <w:uiPriority w:val="99"/>
    <w:rsid w:val="004B6BC5"/>
    <w:pPr>
      <w:spacing w:before="100" w:beforeAutospacing="1" w:after="100" w:afterAutospacing="1"/>
    </w:pPr>
    <w:rPr>
      <w:rFonts w:ascii="Arial" w:hAnsi="Arial" w:cs="Arial"/>
      <w:color w:val="993366"/>
      <w:sz w:val="14"/>
      <w:szCs w:val="14"/>
    </w:rPr>
  </w:style>
  <w:style w:type="paragraph" w:customStyle="1" w:styleId="tx2">
    <w:name w:val="tx2"/>
    <w:basedOn w:val="a"/>
    <w:uiPriority w:val="99"/>
    <w:rsid w:val="004B6BC5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ml">
    <w:name w:val="ml"/>
    <w:basedOn w:val="a"/>
    <w:uiPriority w:val="99"/>
    <w:rsid w:val="004B6BC5"/>
    <w:pPr>
      <w:spacing w:before="100" w:beforeAutospacing="1" w:after="100" w:afterAutospacing="1"/>
    </w:pPr>
    <w:rPr>
      <w:color w:val="333333"/>
    </w:rPr>
  </w:style>
  <w:style w:type="paragraph" w:customStyle="1" w:styleId="crd">
    <w:name w:val="crd"/>
    <w:basedOn w:val="a"/>
    <w:uiPriority w:val="99"/>
    <w:rsid w:val="004B6BC5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redline">
    <w:name w:val="redline"/>
    <w:basedOn w:val="a"/>
    <w:uiPriority w:val="99"/>
    <w:rsid w:val="004B6BC5"/>
    <w:pPr>
      <w:spacing w:before="100" w:beforeAutospacing="1" w:after="100" w:afterAutospacing="1"/>
      <w:ind w:firstLine="206"/>
    </w:pPr>
    <w:rPr>
      <w:color w:val="333333"/>
    </w:rPr>
  </w:style>
  <w:style w:type="paragraph" w:customStyle="1" w:styleId="tx1">
    <w:name w:val="tx1"/>
    <w:basedOn w:val="a"/>
    <w:uiPriority w:val="99"/>
    <w:rsid w:val="004B6BC5"/>
    <w:pPr>
      <w:spacing w:before="100" w:beforeAutospacing="1" w:after="100" w:afterAutospacing="1"/>
    </w:pPr>
    <w:rPr>
      <w:color w:val="333333"/>
      <w:sz w:val="22"/>
      <w:szCs w:val="22"/>
    </w:rPr>
  </w:style>
  <w:style w:type="paragraph" w:customStyle="1" w:styleId="navarr">
    <w:name w:val="navarr"/>
    <w:basedOn w:val="a"/>
    <w:uiPriority w:val="99"/>
    <w:rsid w:val="004B6BC5"/>
    <w:pPr>
      <w:spacing w:before="100" w:beforeAutospacing="1" w:after="100" w:afterAutospacing="1"/>
    </w:pPr>
    <w:rPr>
      <w:rFonts w:ascii="Arial" w:hAnsi="Arial" w:cs="Arial"/>
      <w:color w:val="333333"/>
      <w:sz w:val="13"/>
      <w:szCs w:val="13"/>
    </w:rPr>
  </w:style>
  <w:style w:type="paragraph" w:customStyle="1" w:styleId="about">
    <w:name w:val="about"/>
    <w:basedOn w:val="a"/>
    <w:uiPriority w:val="99"/>
    <w:rsid w:val="004B6BC5"/>
    <w:pPr>
      <w:spacing w:before="100" w:beforeAutospacing="1" w:after="100" w:afterAutospacing="1"/>
    </w:pPr>
    <w:rPr>
      <w:rFonts w:ascii="Tahoma" w:hAnsi="Tahoma" w:cs="Tahoma"/>
      <w:color w:val="333333"/>
      <w:sz w:val="12"/>
      <w:szCs w:val="12"/>
    </w:rPr>
  </w:style>
  <w:style w:type="paragraph" w:customStyle="1" w:styleId="inp">
    <w:name w:val="inp"/>
    <w:basedOn w:val="a"/>
    <w:uiPriority w:val="99"/>
    <w:rsid w:val="004B6BC5"/>
    <w:pPr>
      <w:spacing w:before="100" w:beforeAutospacing="1" w:after="100" w:afterAutospacing="1"/>
    </w:pPr>
    <w:rPr>
      <w:rFonts w:ascii="Verdana" w:hAnsi="Verdana" w:cs="Verdana"/>
      <w:color w:val="0033CC"/>
      <w:sz w:val="14"/>
      <w:szCs w:val="14"/>
    </w:rPr>
  </w:style>
  <w:style w:type="paragraph" w:customStyle="1" w:styleId="tarea">
    <w:name w:val="tarea"/>
    <w:basedOn w:val="a"/>
    <w:uiPriority w:val="99"/>
    <w:rsid w:val="004B6BC5"/>
    <w:pPr>
      <w:spacing w:before="100" w:beforeAutospacing="1" w:after="100" w:afterAutospacing="1"/>
    </w:pPr>
    <w:rPr>
      <w:rFonts w:ascii="Verdana" w:hAnsi="Verdana" w:cs="Verdana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потребности в трудовых, материальных и финансовых ресурсах для выполнения производственной программы </vt:lpstr>
    </vt:vector>
  </TitlesOfParts>
  <Company>Home</Company>
  <LinksUpToDate>false</LinksUpToDate>
  <CharactersWithSpaces>18120</CharactersWithSpaces>
  <SharedDoc>false</SharedDoc>
  <HLinks>
    <vt:vector size="6" baseType="variant">
      <vt:variant>
        <vt:i4>7995434</vt:i4>
      </vt:variant>
      <vt:variant>
        <vt:i4>63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потребности в трудовых, материальных и финансовых ресурсах для выполнения производственной программы </dc:title>
  <dc:subject/>
  <dc:creator>User</dc:creator>
  <cp:keywords/>
  <dc:description/>
  <cp:lastModifiedBy>admin</cp:lastModifiedBy>
  <cp:revision>2</cp:revision>
  <dcterms:created xsi:type="dcterms:W3CDTF">2014-05-16T02:07:00Z</dcterms:created>
  <dcterms:modified xsi:type="dcterms:W3CDTF">2014-05-16T02:07:00Z</dcterms:modified>
</cp:coreProperties>
</file>