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65" w:rsidRDefault="00AF5158">
      <w:pPr>
        <w:jc w:val="center"/>
        <w:rPr>
          <w:rFonts w:ascii="Times New Roman" w:hAnsi="Times New Roman" w:cs="Times New Roman"/>
          <w:b/>
          <w:bCs/>
          <w:lang w:val="en-US"/>
        </w:rPr>
      </w:pPr>
      <w:r>
        <w:rPr>
          <w:rFonts w:ascii="Times New Roman" w:hAnsi="Times New Roman" w:cs="Times New Roman"/>
          <w:b/>
          <w:bCs/>
        </w:rPr>
        <w:t>Оптическая обработка информации</w:t>
      </w:r>
    </w:p>
    <w:p w:rsidR="00897865" w:rsidRDefault="00897865">
      <w:pPr>
        <w:jc w:val="both"/>
        <w:rPr>
          <w:rFonts w:ascii="Times New Roman" w:hAnsi="Times New Roman" w:cs="Times New Roman"/>
          <w:lang w:val="en-US"/>
        </w:rPr>
      </w:pPr>
      <w:bookmarkStart w:id="0" w:name="_Toc354685474"/>
      <w:bookmarkStart w:id="1" w:name="_Toc355455256"/>
      <w:bookmarkStart w:id="2" w:name="_Toc356151905"/>
    </w:p>
    <w:p w:rsidR="00897865" w:rsidRDefault="00AF5158">
      <w:pPr>
        <w:jc w:val="both"/>
        <w:rPr>
          <w:rFonts w:ascii="Times New Roman" w:hAnsi="Times New Roman" w:cs="Times New Roman"/>
        </w:rPr>
      </w:pPr>
      <w:r>
        <w:rPr>
          <w:rFonts w:ascii="Times New Roman" w:hAnsi="Times New Roman" w:cs="Times New Roman"/>
        </w:rPr>
        <w:t>Вступление</w:t>
      </w:r>
      <w:bookmarkEnd w:id="0"/>
      <w:bookmarkEnd w:id="1"/>
      <w:bookmarkEnd w:id="2"/>
    </w:p>
    <w:p w:rsidR="00897865" w:rsidRDefault="00AF5158">
      <w:pPr>
        <w:jc w:val="both"/>
        <w:rPr>
          <w:rFonts w:ascii="Times New Roman" w:hAnsi="Times New Roman" w:cs="Times New Roman"/>
        </w:rPr>
      </w:pPr>
      <w:r>
        <w:rPr>
          <w:rFonts w:ascii="Times New Roman" w:hAnsi="Times New Roman" w:cs="Times New Roman"/>
        </w:rPr>
        <w:t>Современная практика и научные исследования требуют измерений высоких и сверхвысоких напряжений — до 10 МВ и больших токов — до 1</w:t>
      </w:r>
      <w:r>
        <w:rPr>
          <w:rFonts w:ascii="Times New Roman" w:hAnsi="Times New Roman" w:cs="Times New Roman"/>
        </w:rPr>
        <w:sym w:font="Symbol" w:char="F0B8"/>
      </w:r>
      <w:r>
        <w:rPr>
          <w:rFonts w:ascii="Times New Roman" w:hAnsi="Times New Roman" w:cs="Times New Roman"/>
        </w:rPr>
        <w:t>2 МА. Напряжения и токи при этом могут быть постоянными, переменными, и импульсными с длительностью импульсов от долей микросекунд до нескольких десятков миллисекунд. Измерение больших постоянных токов — до 200</w:t>
      </w:r>
      <w:r>
        <w:rPr>
          <w:rFonts w:ascii="Times New Roman" w:hAnsi="Times New Roman" w:cs="Times New Roman"/>
        </w:rPr>
        <w:sym w:font="Symbol" w:char="F0B8"/>
      </w:r>
      <w:r>
        <w:rPr>
          <w:rFonts w:ascii="Times New Roman" w:hAnsi="Times New Roman" w:cs="Times New Roman"/>
        </w:rPr>
        <w:t>500 кА широко используется в устройствах электролиза алюминия. Большие переменные токи — до 150</w:t>
      </w:r>
      <w:r>
        <w:rPr>
          <w:rFonts w:ascii="Times New Roman" w:hAnsi="Times New Roman" w:cs="Times New Roman"/>
        </w:rPr>
        <w:sym w:font="Symbol" w:char="F0B8"/>
      </w:r>
      <w:r>
        <w:rPr>
          <w:rFonts w:ascii="Times New Roman" w:hAnsi="Times New Roman" w:cs="Times New Roman"/>
        </w:rPr>
        <w:t>200 кА имеют место в мощных дуговых электропечах. Работают линии электропередачи с напряжением 1,2</w:t>
      </w:r>
      <w:r>
        <w:rPr>
          <w:rFonts w:ascii="Times New Roman" w:hAnsi="Times New Roman" w:cs="Times New Roman"/>
        </w:rPr>
        <w:sym w:font="Symbol" w:char="F0B8"/>
      </w:r>
      <w:r>
        <w:rPr>
          <w:rFonts w:ascii="Times New Roman" w:hAnsi="Times New Roman" w:cs="Times New Roman"/>
        </w:rPr>
        <w:t>1,5 МВ, проектируются линии передачи и энергетические устройства на более высокие напряжения. В термоядерных установках токи достигают сотен килоампер.</w:t>
      </w:r>
    </w:p>
    <w:p w:rsidR="00897865" w:rsidRDefault="00AF5158">
      <w:pPr>
        <w:jc w:val="both"/>
        <w:rPr>
          <w:rFonts w:ascii="Times New Roman" w:hAnsi="Times New Roman" w:cs="Times New Roman"/>
        </w:rPr>
      </w:pPr>
      <w:r>
        <w:rPr>
          <w:rFonts w:ascii="Times New Roman" w:hAnsi="Times New Roman" w:cs="Times New Roman"/>
        </w:rPr>
        <w:t>В ряде случаев необходимо проводить измерения при сверхнизких и высоких температурах, например, в криотурбогенераторах или криомодулях высокоскоростных транспортных средств на магнитной подушке, при исследовании плазменных и термоядерных источников энергии.</w:t>
      </w:r>
    </w:p>
    <w:p w:rsidR="00897865" w:rsidRDefault="00AF5158">
      <w:pPr>
        <w:jc w:val="both"/>
        <w:rPr>
          <w:rFonts w:ascii="Times New Roman" w:hAnsi="Times New Roman" w:cs="Times New Roman"/>
        </w:rPr>
      </w:pPr>
      <w:bookmarkStart w:id="3" w:name="_Toc356151907"/>
      <w:r>
        <w:rPr>
          <w:rFonts w:ascii="Times New Roman" w:hAnsi="Times New Roman" w:cs="Times New Roman"/>
        </w:rPr>
        <w:t>Электрооптические методы измерений высоких напряжений и больших токов</w:t>
      </w:r>
      <w:bookmarkEnd w:id="3"/>
    </w:p>
    <w:p w:rsidR="00897865" w:rsidRDefault="00AF5158">
      <w:pPr>
        <w:jc w:val="both"/>
        <w:rPr>
          <w:rFonts w:ascii="Times New Roman" w:hAnsi="Times New Roman" w:cs="Times New Roman"/>
        </w:rPr>
      </w:pPr>
      <w:r>
        <w:rPr>
          <w:rFonts w:ascii="Times New Roman" w:hAnsi="Times New Roman" w:cs="Times New Roman"/>
        </w:rPr>
        <w:t>Быстрое развитие линий электропередачи и электрофизических устройств высокого и сверхвысокого напряжения (1200 кВ и выше) обусловило появление новых методов измерений, не требующих создания дорогостоящих и громоздких изоляционных устройств на полное рабочее напряжение. Перспективными являются электрооптические методы, основанные на преобразовании измеряемых электрических величин в параметры оптического излучения и применении оптических каналов связи для передачи измерительной информации из зоны высокого напряжения на низковольтную часть измерительного устройства. Преимуществами этих методов являются высокое быстродействие, защищенность от электромагнитных помех, а также надежная естественная электрическая изоляция между высоковольтной и вторичной измерительными цепями вследствие их полной электрической развязки.</w:t>
      </w:r>
    </w:p>
    <w:p w:rsidR="00897865" w:rsidRDefault="00AF5158">
      <w:pPr>
        <w:jc w:val="both"/>
        <w:rPr>
          <w:rFonts w:ascii="Times New Roman" w:hAnsi="Times New Roman" w:cs="Times New Roman"/>
        </w:rPr>
      </w:pPr>
      <w:r>
        <w:rPr>
          <w:rFonts w:ascii="Times New Roman" w:hAnsi="Times New Roman" w:cs="Times New Roman"/>
        </w:rPr>
        <w:t>Электрооптические методы разделяются на методы с внутренней модуляцией, при которых сигнал измерительной информации непосредственно воздействует на источник оптического излучения, изменяя параметры его излучения, и методы с внешней модуляцией, основанные на воздействии измеряемой величины непосредственно на оптическое излучение от внешнего стабильного источника.</w:t>
      </w:r>
    </w:p>
    <w:p w:rsidR="00897865" w:rsidRDefault="003A71C8">
      <w:pPr>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64.75pt" fillcolor="window">
            <v:imagedata r:id="rId4" o:title=""/>
          </v:shape>
        </w:pict>
      </w:r>
    </w:p>
    <w:p w:rsidR="00897865" w:rsidRDefault="00AF5158">
      <w:pPr>
        <w:jc w:val="both"/>
        <w:rPr>
          <w:rFonts w:ascii="Times New Roman" w:hAnsi="Times New Roman" w:cs="Times New Roman"/>
        </w:rPr>
      </w:pPr>
      <w:r>
        <w:rPr>
          <w:rFonts w:ascii="Times New Roman" w:hAnsi="Times New Roman" w:cs="Times New Roman"/>
        </w:rPr>
        <w:t>Рис. 1.</w:t>
      </w:r>
    </w:p>
    <w:p w:rsidR="00897865" w:rsidRDefault="00AF5158">
      <w:pPr>
        <w:jc w:val="both"/>
        <w:rPr>
          <w:rFonts w:ascii="Times New Roman" w:hAnsi="Times New Roman" w:cs="Times New Roman"/>
        </w:rPr>
      </w:pPr>
      <w:r>
        <w:rPr>
          <w:rFonts w:ascii="Times New Roman" w:hAnsi="Times New Roman" w:cs="Times New Roman"/>
        </w:rPr>
        <w:t>При измерении методами с внутренней модуляцией (рис. 1) источник оптического излучения 2 (например, светодиод) и первичный преобразователь 1 (шунт, измерительный трансформатор и др.) находятся под высоким напряжением, а приемник оптического излучения 4 и вторичное измерительное устройство 5 имеют потенциал Земли. В качестве оптического канала связи 3 между источником и приемником излучения применяются высоковольтные волоконные жесткие или гибкие световоды, которые обеспечивают надежную изоляцию измерительных устройств от высоковольтной цепи.</w:t>
      </w:r>
    </w:p>
    <w:p w:rsidR="00897865" w:rsidRDefault="00AF5158">
      <w:pPr>
        <w:jc w:val="both"/>
        <w:rPr>
          <w:rFonts w:ascii="Times New Roman" w:hAnsi="Times New Roman" w:cs="Times New Roman"/>
        </w:rPr>
      </w:pPr>
      <w:r>
        <w:rPr>
          <w:rFonts w:ascii="Times New Roman" w:hAnsi="Times New Roman" w:cs="Times New Roman"/>
        </w:rPr>
        <w:t>Методы с внешней модуляцией основаны на использовании электрооптических и магнитооптических эффектов, главным образом электрооптических эффектов Керра и Поккельса — для измерения напряженности электрического поля и напряжения, а также магнитооптического эффекта Фарадея — для измерения токов.</w:t>
      </w:r>
    </w:p>
    <w:p w:rsidR="00897865" w:rsidRDefault="00AF5158">
      <w:pPr>
        <w:jc w:val="both"/>
        <w:rPr>
          <w:rFonts w:ascii="Times New Roman" w:hAnsi="Times New Roman" w:cs="Times New Roman"/>
        </w:rPr>
      </w:pPr>
      <w:r>
        <w:rPr>
          <w:rFonts w:ascii="Times New Roman" w:hAnsi="Times New Roman" w:cs="Times New Roman"/>
        </w:rPr>
        <w:t>Время релаксации, свойственное электро- и магнитооптическим эффектам, составляет менее 10</w:t>
      </w:r>
      <w:r>
        <w:rPr>
          <w:rFonts w:ascii="Times New Roman" w:hAnsi="Times New Roman" w:cs="Times New Roman"/>
          <w:vertAlign w:val="superscript"/>
        </w:rPr>
        <w:t>-10</w:t>
      </w:r>
      <w:r>
        <w:rPr>
          <w:rFonts w:ascii="Times New Roman" w:hAnsi="Times New Roman" w:cs="Times New Roman"/>
        </w:rPr>
        <w:t xml:space="preserve"> с, поэтому на основе этих эффектов можно создать быстродействующие средства измерений постоянных, переменных и импульсных токов и напряжений, а также современные быстродействующие устройства защиты.</w:t>
      </w:r>
    </w:p>
    <w:p w:rsidR="00897865" w:rsidRDefault="00AF5158">
      <w:pPr>
        <w:jc w:val="both"/>
        <w:rPr>
          <w:rFonts w:ascii="Times New Roman" w:hAnsi="Times New Roman" w:cs="Times New Roman"/>
        </w:rPr>
      </w:pPr>
      <w:bookmarkStart w:id="4" w:name="_Toc356151908"/>
      <w:r>
        <w:rPr>
          <w:rFonts w:ascii="Times New Roman" w:hAnsi="Times New Roman" w:cs="Times New Roman"/>
        </w:rPr>
        <w:t>Использование эффекта Фарадея</w:t>
      </w:r>
      <w:bookmarkEnd w:id="4"/>
    </w:p>
    <w:p w:rsidR="00897865" w:rsidRDefault="00AF5158">
      <w:pPr>
        <w:jc w:val="both"/>
        <w:rPr>
          <w:rFonts w:ascii="Times New Roman" w:hAnsi="Times New Roman" w:cs="Times New Roman"/>
        </w:rPr>
      </w:pPr>
      <w:r>
        <w:rPr>
          <w:rFonts w:ascii="Times New Roman" w:hAnsi="Times New Roman" w:cs="Times New Roman"/>
        </w:rPr>
        <w:t>Эффект Фарадея заключается во вращении плоскости поляризации линейно поляризованного света в оптически активных веществах под действием магнитного поля. Угол поворота плоскости поляризации света</w:t>
      </w:r>
    </w:p>
    <w:p w:rsidR="00897865" w:rsidRDefault="00AF5158">
      <w:pPr>
        <w:jc w:val="both"/>
        <w:rPr>
          <w:rFonts w:ascii="Times New Roman" w:hAnsi="Times New Roman" w:cs="Times New Roman"/>
        </w:rPr>
      </w:pPr>
      <w:r>
        <w:rPr>
          <w:rFonts w:ascii="Times New Roman" w:hAnsi="Times New Roman" w:cs="Times New Roman"/>
          <w:position w:val="-12"/>
        </w:rPr>
        <w:object w:dxaOrig="1440" w:dyaOrig="420">
          <v:shape id="_x0000_i1026" type="#_x0000_t75" style="width:1in;height:21pt" o:ole="">
            <v:imagedata r:id="rId5" o:title=""/>
          </v:shape>
          <o:OLEObject Type="Embed" ProgID="Equation.3" ShapeID="_x0000_i1026" DrawAspect="Content" ObjectID="_1454300595" r:id="rId6"/>
        </w:object>
      </w:r>
    </w:p>
    <w:p w:rsidR="00897865" w:rsidRDefault="00AF5158">
      <w:pPr>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C</w:t>
      </w:r>
      <w:r>
        <w:rPr>
          <w:rFonts w:ascii="Times New Roman" w:hAnsi="Times New Roman" w:cs="Times New Roman"/>
          <w:i/>
          <w:iCs/>
          <w:vertAlign w:val="subscript"/>
        </w:rPr>
        <w:t>B</w:t>
      </w:r>
      <w:r>
        <w:rPr>
          <w:rFonts w:ascii="Times New Roman" w:hAnsi="Times New Roman" w:cs="Times New Roman"/>
        </w:rPr>
        <w:t xml:space="preserve"> — постоянная Верде; </w:t>
      </w:r>
      <w:r>
        <w:rPr>
          <w:rFonts w:ascii="Times New Roman" w:hAnsi="Times New Roman" w:cs="Times New Roman"/>
          <w:i/>
          <w:iCs/>
        </w:rPr>
        <w:t>l</w:t>
      </w:r>
      <w:r>
        <w:rPr>
          <w:rFonts w:ascii="Times New Roman" w:hAnsi="Times New Roman" w:cs="Times New Roman"/>
        </w:rPr>
        <w:t xml:space="preserve"> — длина пути света в веществе; </w:t>
      </w:r>
      <w:r>
        <w:rPr>
          <w:rFonts w:ascii="Times New Roman" w:hAnsi="Times New Roman" w:cs="Times New Roman"/>
          <w:i/>
          <w:iCs/>
        </w:rPr>
        <w:t>В</w:t>
      </w:r>
      <w:r>
        <w:rPr>
          <w:rFonts w:ascii="Times New Roman" w:hAnsi="Times New Roman" w:cs="Times New Roman"/>
        </w:rPr>
        <w:t xml:space="preserve"> - магнитная индукция.</w:t>
      </w:r>
    </w:p>
    <w:p w:rsidR="00897865" w:rsidRDefault="00AF5158">
      <w:pPr>
        <w:jc w:val="both"/>
        <w:rPr>
          <w:rFonts w:ascii="Times New Roman" w:hAnsi="Times New Roman" w:cs="Times New Roman"/>
        </w:rPr>
      </w:pPr>
      <w:r>
        <w:rPr>
          <w:rFonts w:ascii="Times New Roman" w:hAnsi="Times New Roman" w:cs="Times New Roman"/>
        </w:rPr>
        <w:t>Измеряя угол поворота плоскости поляризации света, можно определить индукцию магнитного поля или силу тока, если преобразователь поместить в магнитном поле измеряемого тока.</w:t>
      </w:r>
    </w:p>
    <w:p w:rsidR="00897865" w:rsidRDefault="00AF5158">
      <w:pPr>
        <w:jc w:val="both"/>
        <w:rPr>
          <w:rFonts w:ascii="Times New Roman" w:hAnsi="Times New Roman" w:cs="Times New Roman"/>
        </w:rPr>
      </w:pPr>
      <w:r>
        <w:rPr>
          <w:rFonts w:ascii="Times New Roman" w:hAnsi="Times New Roman" w:cs="Times New Roman"/>
        </w:rPr>
        <w:object w:dxaOrig="4935" w:dyaOrig="5563">
          <v:shape id="_x0000_i1027" type="#_x0000_t75" style="width:246.75pt;height:278.25pt" o:ole="">
            <v:imagedata r:id="rId7" o:title=""/>
          </v:shape>
          <o:OLEObject Type="Embed" ProgID="Word.Picture.8" ShapeID="_x0000_i1027" DrawAspect="Content" ObjectID="_1454300596" r:id="rId8"/>
        </w:object>
      </w:r>
    </w:p>
    <w:p w:rsidR="00897865" w:rsidRDefault="00AF5158">
      <w:pPr>
        <w:jc w:val="both"/>
        <w:rPr>
          <w:rFonts w:ascii="Times New Roman" w:hAnsi="Times New Roman" w:cs="Times New Roman"/>
        </w:rPr>
      </w:pPr>
      <w:r>
        <w:rPr>
          <w:rFonts w:ascii="Times New Roman" w:hAnsi="Times New Roman" w:cs="Times New Roman"/>
        </w:rPr>
        <w:t>Рис. 2.</w:t>
      </w:r>
    </w:p>
    <w:p w:rsidR="00897865" w:rsidRDefault="00AF5158">
      <w:pPr>
        <w:jc w:val="both"/>
        <w:rPr>
          <w:rFonts w:ascii="Times New Roman" w:hAnsi="Times New Roman" w:cs="Times New Roman"/>
        </w:rPr>
      </w:pPr>
      <w:r>
        <w:rPr>
          <w:rFonts w:ascii="Times New Roman" w:hAnsi="Times New Roman" w:cs="Times New Roman"/>
        </w:rPr>
        <w:t xml:space="preserve">Уравнение, записанное выше, справедливо для составляющей индукции </w:t>
      </w:r>
      <w:r>
        <w:rPr>
          <w:rFonts w:ascii="Times New Roman" w:hAnsi="Times New Roman" w:cs="Times New Roman"/>
          <w:i/>
          <w:iCs/>
        </w:rPr>
        <w:t>В</w:t>
      </w:r>
      <w:r>
        <w:rPr>
          <w:rFonts w:ascii="Times New Roman" w:hAnsi="Times New Roman" w:cs="Times New Roman"/>
          <w:i/>
          <w:iCs/>
          <w:vertAlign w:val="subscript"/>
        </w:rPr>
        <w:t>l</w:t>
      </w:r>
      <w:r>
        <w:rPr>
          <w:rFonts w:ascii="Times New Roman" w:hAnsi="Times New Roman" w:cs="Times New Roman"/>
        </w:rPr>
        <w:t xml:space="preserve">, направленной вдоль пути света. Знак угла </w:t>
      </w:r>
      <w:r>
        <w:rPr>
          <w:rFonts w:ascii="Times New Roman" w:hAnsi="Times New Roman" w:cs="Times New Roman"/>
        </w:rPr>
        <w:sym w:font="Symbol" w:char="F051"/>
      </w:r>
      <w:r>
        <w:rPr>
          <w:rFonts w:ascii="Times New Roman" w:hAnsi="Times New Roman" w:cs="Times New Roman"/>
        </w:rPr>
        <w:t xml:space="preserve"> зависит от направления вектора магнитной индукции, но не зависит от направления света, что позволяет увеличить угол </w:t>
      </w:r>
      <w:r>
        <w:rPr>
          <w:rFonts w:ascii="Times New Roman" w:hAnsi="Times New Roman" w:cs="Times New Roman"/>
        </w:rPr>
        <w:sym w:font="Symbol" w:char="F051"/>
      </w:r>
      <w:r>
        <w:rPr>
          <w:rFonts w:ascii="Times New Roman" w:hAnsi="Times New Roman" w:cs="Times New Roman"/>
        </w:rPr>
        <w:t>, если свет многократно пропускать через ячейку Фарадея. Как и в других методах, основанных на измерении магнитной индукции поля, создаваемого измеряемым током, при использовании эффекта Фарадея основными составляющими погрешности измерения тока являются погрешность преобразования измеряемого тока в магнитную индукцию и погрешность измерения магнитной индукции.</w:t>
      </w:r>
    </w:p>
    <w:p w:rsidR="00897865" w:rsidRDefault="00AF5158">
      <w:pPr>
        <w:jc w:val="both"/>
        <w:rPr>
          <w:rFonts w:ascii="Times New Roman" w:hAnsi="Times New Roman" w:cs="Times New Roman"/>
        </w:rPr>
      </w:pPr>
      <w:r>
        <w:rPr>
          <w:rFonts w:ascii="Times New Roman" w:hAnsi="Times New Roman" w:cs="Times New Roman"/>
        </w:rPr>
        <w:t>При использовании эффекта Фарадея измерение магнитной индукции сводится к измерению поворота плоскости поляризации света, которое обычно осуществляя методами прямого или уравновешивающего преобразования.</w:t>
      </w:r>
    </w:p>
    <w:p w:rsidR="00897865" w:rsidRDefault="00AF5158">
      <w:pPr>
        <w:jc w:val="both"/>
        <w:rPr>
          <w:rFonts w:ascii="Times New Roman" w:hAnsi="Times New Roman" w:cs="Times New Roman"/>
        </w:rPr>
      </w:pPr>
      <w:r>
        <w:rPr>
          <w:rFonts w:ascii="Times New Roman" w:hAnsi="Times New Roman" w:cs="Times New Roman"/>
        </w:rPr>
        <w:t>При применении метода прямого преобразования свет от лазера 1 направляется к преобразователю Фарадея 8 (рис. 2).</w:t>
      </w:r>
    </w:p>
    <w:p w:rsidR="00897865" w:rsidRDefault="00AF5158">
      <w:pPr>
        <w:jc w:val="both"/>
        <w:rPr>
          <w:rFonts w:ascii="Times New Roman" w:hAnsi="Times New Roman" w:cs="Times New Roman"/>
        </w:rPr>
      </w:pPr>
      <w:r>
        <w:rPr>
          <w:rFonts w:ascii="Times New Roman" w:hAnsi="Times New Roman" w:cs="Times New Roman"/>
        </w:rPr>
        <w:t>При этом поляризатор 2 и анализатор 4 могут быть расположены непосредственно у магнитооптического образца, что позволяет использовать оптические каналы связи 5 в виде обычных волоконных световодов.</w:t>
      </w:r>
    </w:p>
    <w:p w:rsidR="00897865" w:rsidRDefault="00AF5158">
      <w:pPr>
        <w:jc w:val="both"/>
        <w:rPr>
          <w:rFonts w:ascii="Times New Roman" w:hAnsi="Times New Roman" w:cs="Times New Roman"/>
        </w:rPr>
      </w:pPr>
      <w:r>
        <w:rPr>
          <w:rFonts w:ascii="Times New Roman" w:hAnsi="Times New Roman" w:cs="Times New Roman"/>
        </w:rPr>
        <w:t xml:space="preserve">Выходным сигналом устройств, построенных на основе метода прямого преобразования, является фототок </w:t>
      </w:r>
      <w:r>
        <w:rPr>
          <w:rFonts w:ascii="Times New Roman" w:hAnsi="Times New Roman" w:cs="Times New Roman"/>
          <w:position w:val="-16"/>
        </w:rPr>
        <w:object w:dxaOrig="1460" w:dyaOrig="460">
          <v:shape id="_x0000_i1028" type="#_x0000_t75" style="width:72.75pt;height:23.25pt" o:ole="">
            <v:imagedata r:id="rId9" o:title=""/>
          </v:shape>
          <o:OLEObject Type="Embed" ProgID="Equation.3" ShapeID="_x0000_i1028" DrawAspect="Content" ObjectID="_1454300597" r:id="rId10"/>
        </w:object>
      </w:r>
      <w:r>
        <w:rPr>
          <w:rFonts w:ascii="Times New Roman" w:hAnsi="Times New Roman" w:cs="Times New Roman"/>
        </w:rPr>
        <w:t xml:space="preserve"> или выходное напряжение.</w:t>
      </w:r>
    </w:p>
    <w:p w:rsidR="00897865" w:rsidRDefault="00AF5158">
      <w:pPr>
        <w:jc w:val="both"/>
        <w:rPr>
          <w:rFonts w:ascii="Times New Roman" w:hAnsi="Times New Roman" w:cs="Times New Roman"/>
        </w:rPr>
      </w:pPr>
      <w:r>
        <w:rPr>
          <w:rFonts w:ascii="Times New Roman" w:hAnsi="Times New Roman" w:cs="Times New Roman"/>
          <w:position w:val="-16"/>
        </w:rPr>
        <w:object w:dxaOrig="3300" w:dyaOrig="460">
          <v:shape id="_x0000_i1029" type="#_x0000_t75" style="width:165pt;height:23.25pt" o:ole="">
            <v:imagedata r:id="rId11" o:title=""/>
          </v:shape>
          <o:OLEObject Type="Embed" ProgID="Equation.3" ShapeID="_x0000_i1029" DrawAspect="Content" ObjectID="_1454300598" r:id="rId12"/>
        </w:object>
      </w:r>
    </w:p>
    <w:p w:rsidR="00897865" w:rsidRDefault="00AF5158">
      <w:pPr>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R</w:t>
      </w:r>
      <w:r>
        <w:rPr>
          <w:rFonts w:ascii="Times New Roman" w:hAnsi="Times New Roman" w:cs="Times New Roman"/>
          <w:i/>
          <w:iCs/>
          <w:caps/>
          <w:vertAlign w:val="subscript"/>
        </w:rPr>
        <w:t>н</w:t>
      </w:r>
      <w:r>
        <w:rPr>
          <w:rFonts w:ascii="Times New Roman" w:hAnsi="Times New Roman" w:cs="Times New Roman"/>
        </w:rPr>
        <w:t xml:space="preserve"> — сопротивление нагрузки фотоприемника; </w:t>
      </w:r>
      <w:r>
        <w:rPr>
          <w:rFonts w:ascii="Times New Roman" w:hAnsi="Times New Roman" w:cs="Times New Roman"/>
          <w:i/>
          <w:iCs/>
        </w:rPr>
        <w:t>S</w:t>
      </w:r>
      <w:r>
        <w:rPr>
          <w:rFonts w:ascii="Times New Roman" w:hAnsi="Times New Roman" w:cs="Times New Roman"/>
          <w:i/>
          <w:iCs/>
          <w:vertAlign w:val="subscript"/>
        </w:rPr>
        <w:t>Ф</w:t>
      </w:r>
      <w:r>
        <w:rPr>
          <w:rFonts w:ascii="Times New Roman" w:hAnsi="Times New Roman" w:cs="Times New Roman"/>
        </w:rPr>
        <w:t xml:space="preserve"> — чувствительность фотоприемника; </w:t>
      </w:r>
      <w:r>
        <w:rPr>
          <w:rFonts w:ascii="Times New Roman" w:hAnsi="Times New Roman" w:cs="Times New Roman"/>
          <w:i/>
          <w:iCs/>
        </w:rPr>
        <w:t>J</w:t>
      </w:r>
      <w:r>
        <w:rPr>
          <w:rFonts w:ascii="Times New Roman" w:hAnsi="Times New Roman" w:cs="Times New Roman"/>
          <w:i/>
          <w:iCs/>
          <w:vertAlign w:val="subscript"/>
        </w:rPr>
        <w:t>2</w:t>
      </w:r>
      <w:r>
        <w:rPr>
          <w:rFonts w:ascii="Times New Roman" w:hAnsi="Times New Roman" w:cs="Times New Roman"/>
        </w:rPr>
        <w:t xml:space="preserve"> — интенсивность светового потока на входе фотоприемника, которая в соответствии с законом Малюса равна</w:t>
      </w:r>
    </w:p>
    <w:p w:rsidR="00897865" w:rsidRDefault="00AF5158">
      <w:pPr>
        <w:jc w:val="both"/>
        <w:rPr>
          <w:rFonts w:ascii="Times New Roman" w:hAnsi="Times New Roman" w:cs="Times New Roman"/>
        </w:rPr>
      </w:pPr>
      <w:r>
        <w:rPr>
          <w:rFonts w:ascii="Times New Roman" w:hAnsi="Times New Roman" w:cs="Times New Roman"/>
          <w:position w:val="-12"/>
        </w:rPr>
        <w:object w:dxaOrig="2860" w:dyaOrig="460">
          <v:shape id="_x0000_i1030" type="#_x0000_t75" style="width:143.25pt;height:23.25pt" o:ole="">
            <v:imagedata r:id="rId13" o:title=""/>
          </v:shape>
          <o:OLEObject Type="Embed" ProgID="Equation.3" ShapeID="_x0000_i1030" DrawAspect="Content" ObjectID="_1454300599" r:id="rId14"/>
        </w:objec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897865">
        <w:tc>
          <w:tcPr>
            <w:tcW w:w="4605" w:type="dxa"/>
            <w:tcBorders>
              <w:top w:val="single" w:sz="6" w:space="0" w:color="auto"/>
              <w:left w:val="single" w:sz="6" w:space="0" w:color="auto"/>
              <w:bottom w:val="nil"/>
              <w:right w:val="nil"/>
            </w:tcBorders>
          </w:tcPr>
          <w:p w:rsidR="00897865" w:rsidRDefault="003A71C8">
            <w:pPr>
              <w:jc w:val="both"/>
              <w:rPr>
                <w:rFonts w:ascii="Times New Roman" w:hAnsi="Times New Roman" w:cs="Times New Roman"/>
              </w:rPr>
            </w:pPr>
            <w:r>
              <w:rPr>
                <w:rFonts w:ascii="Times New Roman" w:hAnsi="Times New Roman" w:cs="Times New Roman"/>
              </w:rPr>
              <w:pict>
                <v:shape id="_x0000_i1031" type="#_x0000_t75" style="width:129pt;height:102pt" fillcolor="window">
                  <v:imagedata r:id="rId15" o:title=""/>
                </v:shape>
              </w:pict>
            </w:r>
            <w:r w:rsidR="00AF5158">
              <w:rPr>
                <w:rFonts w:ascii="Times New Roman" w:hAnsi="Times New Roman" w:cs="Times New Roman"/>
              </w:rPr>
              <w:t xml:space="preserve">  Рис. 3, а.</w:t>
            </w:r>
          </w:p>
        </w:tc>
        <w:tc>
          <w:tcPr>
            <w:tcW w:w="4605" w:type="dxa"/>
            <w:tcBorders>
              <w:top w:val="single" w:sz="6" w:space="0" w:color="auto"/>
              <w:left w:val="double" w:sz="6" w:space="0" w:color="auto"/>
              <w:bottom w:val="nil"/>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32" type="#_x0000_t75" style="width:221.25pt;height:75.75pt" fillcolor="window">
                  <v:imagedata r:id="rId16" o:title=""/>
                </v:shape>
              </w:pict>
            </w:r>
            <w:r w:rsidR="00AF5158">
              <w:rPr>
                <w:rFonts w:ascii="Times New Roman" w:hAnsi="Times New Roman" w:cs="Times New Roman"/>
              </w:rPr>
              <w:br/>
              <w:t>Рис 3, б.</w:t>
            </w:r>
          </w:p>
        </w:tc>
      </w:tr>
      <w:tr w:rsidR="00897865">
        <w:tc>
          <w:tcPr>
            <w:tcW w:w="4605" w:type="dxa"/>
            <w:tcBorders>
              <w:top w:val="double" w:sz="6" w:space="0" w:color="auto"/>
              <w:left w:val="single" w:sz="6" w:space="0" w:color="auto"/>
              <w:bottom w:val="double" w:sz="6" w:space="0" w:color="auto"/>
              <w:right w:val="doub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33" type="#_x0000_t75" style="width:90pt;height:114pt" fillcolor="window">
                  <v:imagedata r:id="rId17" o:title=""/>
                </v:shape>
              </w:pict>
            </w:r>
            <w:r w:rsidR="00AF5158">
              <w:rPr>
                <w:rFonts w:ascii="Times New Roman" w:hAnsi="Times New Roman" w:cs="Times New Roman"/>
              </w:rPr>
              <w:t xml:space="preserve">           Рис. 3, в.</w:t>
            </w:r>
          </w:p>
        </w:tc>
        <w:tc>
          <w:tcPr>
            <w:tcW w:w="4605" w:type="dxa"/>
            <w:tcBorders>
              <w:top w:val="double" w:sz="6" w:space="0" w:color="auto"/>
              <w:left w:val="nil"/>
              <w:bottom w:val="nil"/>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34" type="#_x0000_t75" style="width:157.5pt;height:171.75pt" fillcolor="window">
                  <v:imagedata r:id="rId18" o:title=""/>
                </v:shape>
              </w:pict>
            </w:r>
            <w:r w:rsidR="00AF5158">
              <w:rPr>
                <w:rFonts w:ascii="Times New Roman" w:hAnsi="Times New Roman" w:cs="Times New Roman"/>
              </w:rPr>
              <w:t>Рис. 3, г.</w:t>
            </w:r>
          </w:p>
        </w:tc>
      </w:tr>
      <w:tr w:rsidR="00897865">
        <w:tc>
          <w:tcPr>
            <w:tcW w:w="4605" w:type="dxa"/>
            <w:tcBorders>
              <w:top w:val="nil"/>
              <w:left w:val="single" w:sz="6" w:space="0" w:color="auto"/>
              <w:bottom w:val="single" w:sz="6" w:space="0" w:color="auto"/>
              <w:right w:val="nil"/>
            </w:tcBorders>
          </w:tcPr>
          <w:p w:rsidR="00897865" w:rsidRDefault="003A71C8">
            <w:pPr>
              <w:jc w:val="both"/>
              <w:rPr>
                <w:rFonts w:ascii="Times New Roman" w:hAnsi="Times New Roman" w:cs="Times New Roman"/>
              </w:rPr>
            </w:pPr>
            <w:r>
              <w:rPr>
                <w:rFonts w:ascii="Times New Roman" w:hAnsi="Times New Roman" w:cs="Times New Roman"/>
              </w:rPr>
              <w:pict>
                <v:shape id="_x0000_i1035" type="#_x0000_t75" style="width:161.25pt;height:128.25pt" fillcolor="window">
                  <v:imagedata r:id="rId19" o:title=""/>
                </v:shape>
              </w:pict>
            </w:r>
            <w:r w:rsidR="00AF5158">
              <w:rPr>
                <w:rFonts w:ascii="Times New Roman" w:hAnsi="Times New Roman" w:cs="Times New Roman"/>
              </w:rPr>
              <w:t>Рис. 3, д.</w:t>
            </w:r>
          </w:p>
        </w:tc>
        <w:tc>
          <w:tcPr>
            <w:tcW w:w="4605" w:type="dxa"/>
            <w:tcBorders>
              <w:top w:val="double" w:sz="6" w:space="0" w:color="auto"/>
              <w:left w:val="double" w:sz="6" w:space="0" w:color="auto"/>
              <w:bottom w:val="single" w:sz="6" w:space="0" w:color="auto"/>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36" type="#_x0000_t75" style="width:168pt;height:181.5pt" fillcolor="window">
                  <v:imagedata r:id="rId20" o:title=""/>
                </v:shape>
              </w:pict>
            </w:r>
            <w:r w:rsidR="00AF5158">
              <w:rPr>
                <w:rFonts w:ascii="Times New Roman" w:hAnsi="Times New Roman" w:cs="Times New Roman"/>
              </w:rPr>
              <w:t>Рис. 3, е.</w:t>
            </w:r>
          </w:p>
        </w:tc>
      </w:tr>
    </w:tbl>
    <w:p w:rsidR="00897865" w:rsidRDefault="00AF5158">
      <w:pPr>
        <w:jc w:val="both"/>
        <w:rPr>
          <w:rFonts w:ascii="Times New Roman" w:hAnsi="Times New Roman" w:cs="Times New Roman"/>
        </w:rPr>
      </w:pPr>
      <w:r>
        <w:rPr>
          <w:rFonts w:ascii="Times New Roman" w:hAnsi="Times New Roman" w:cs="Times New Roman"/>
        </w:rPr>
        <w:t xml:space="preserve">здесь </w:t>
      </w:r>
      <w:r>
        <w:rPr>
          <w:rFonts w:ascii="Times New Roman" w:hAnsi="Times New Roman" w:cs="Times New Roman"/>
          <w:i/>
          <w:iCs/>
        </w:rPr>
        <w:t>J</w:t>
      </w:r>
      <w:r>
        <w:rPr>
          <w:rFonts w:ascii="Times New Roman" w:hAnsi="Times New Roman" w:cs="Times New Roman"/>
          <w:i/>
          <w:iCs/>
          <w:vertAlign w:val="subscript"/>
        </w:rPr>
        <w:t>1</w:t>
      </w:r>
      <w:r>
        <w:rPr>
          <w:rFonts w:ascii="Times New Roman" w:hAnsi="Times New Roman" w:cs="Times New Roman"/>
        </w:rPr>
        <w:t xml:space="preserve"> — интенсивность света на входе анализатора; </w:t>
      </w:r>
      <w:r>
        <w:rPr>
          <w:rFonts w:ascii="Times New Roman" w:hAnsi="Times New Roman" w:cs="Times New Roman"/>
        </w:rPr>
        <w:sym w:font="Symbol" w:char="F06A"/>
      </w:r>
      <w:r>
        <w:rPr>
          <w:rFonts w:ascii="Times New Roman" w:hAnsi="Times New Roman" w:cs="Times New Roman"/>
        </w:rPr>
        <w:t xml:space="preserve"> — угол между поляризатором и анализатором; </w:t>
      </w:r>
      <w:r>
        <w:rPr>
          <w:rFonts w:ascii="Times New Roman" w:hAnsi="Times New Roman" w:cs="Times New Roman"/>
        </w:rPr>
        <w:sym w:font="Symbol" w:char="F051"/>
      </w:r>
      <w:r>
        <w:rPr>
          <w:rFonts w:ascii="Times New Roman" w:hAnsi="Times New Roman" w:cs="Times New Roman"/>
        </w:rPr>
        <w:t xml:space="preserve"> — угол поворота плоскости поляризации, При </w:t>
      </w:r>
      <w:r>
        <w:rPr>
          <w:rFonts w:ascii="Times New Roman" w:hAnsi="Times New Roman" w:cs="Times New Roman"/>
        </w:rPr>
        <w:sym w:font="Symbol" w:char="F06A"/>
      </w:r>
      <w:r>
        <w:rPr>
          <w:rFonts w:ascii="Times New Roman" w:hAnsi="Times New Roman" w:cs="Times New Roman"/>
        </w:rPr>
        <w:t>=45</w:t>
      </w:r>
      <w:r>
        <w:rPr>
          <w:rFonts w:ascii="Times New Roman" w:hAnsi="Times New Roman" w:cs="Times New Roman"/>
        </w:rPr>
        <w:sym w:font="Symbol" w:char="F0B0"/>
      </w:r>
    </w:p>
    <w:p w:rsidR="00897865" w:rsidRDefault="00AF5158">
      <w:pPr>
        <w:jc w:val="both"/>
        <w:rPr>
          <w:rFonts w:ascii="Times New Roman" w:hAnsi="Times New Roman" w:cs="Times New Roman"/>
        </w:rPr>
      </w:pPr>
      <w:r>
        <w:rPr>
          <w:rFonts w:ascii="Times New Roman" w:hAnsi="Times New Roman" w:cs="Times New Roman"/>
          <w:position w:val="-30"/>
        </w:rPr>
        <w:object w:dxaOrig="4020" w:dyaOrig="800">
          <v:shape id="_x0000_i1037" type="#_x0000_t75" style="width:201pt;height:39.75pt" o:ole="">
            <v:imagedata r:id="rId21" o:title=""/>
          </v:shape>
          <o:OLEObject Type="Embed" ProgID="Equation.3" ShapeID="_x0000_i1037" DrawAspect="Content" ObjectID="_1454300600" r:id="rId22"/>
        </w:object>
      </w:r>
    </w:p>
    <w:p w:rsidR="00897865" w:rsidRDefault="00AF5158">
      <w:pPr>
        <w:jc w:val="both"/>
        <w:rPr>
          <w:rFonts w:ascii="Times New Roman" w:hAnsi="Times New Roman" w:cs="Times New Roman"/>
        </w:rPr>
      </w:pPr>
      <w:r>
        <w:rPr>
          <w:rFonts w:ascii="Times New Roman" w:hAnsi="Times New Roman" w:cs="Times New Roman"/>
        </w:rPr>
        <w:t xml:space="preserve">или при малых углах </w:t>
      </w:r>
      <w:r>
        <w:rPr>
          <w:rFonts w:ascii="Times New Roman" w:hAnsi="Times New Roman" w:cs="Times New Roman"/>
        </w:rPr>
        <w:sym w:font="Symbol" w:char="F051"/>
      </w:r>
    </w:p>
    <w:p w:rsidR="00897865" w:rsidRDefault="00AF5158">
      <w:pPr>
        <w:jc w:val="both"/>
        <w:rPr>
          <w:rFonts w:ascii="Times New Roman" w:hAnsi="Times New Roman" w:cs="Times New Roman"/>
        </w:rPr>
      </w:pPr>
      <w:r>
        <w:rPr>
          <w:rFonts w:ascii="Times New Roman" w:hAnsi="Times New Roman" w:cs="Times New Roman"/>
          <w:position w:val="-30"/>
        </w:rPr>
        <w:object w:dxaOrig="3500" w:dyaOrig="800">
          <v:shape id="_x0000_i1038" type="#_x0000_t75" style="width:174.75pt;height:39.75pt" o:ole="">
            <v:imagedata r:id="rId23" o:title=""/>
          </v:shape>
          <o:OLEObject Type="Embed" ProgID="Equation.3" ShapeID="_x0000_i1038" DrawAspect="Content" ObjectID="_1454300601" r:id="rId24"/>
        </w:object>
      </w:r>
    </w:p>
    <w:p w:rsidR="00897865" w:rsidRDefault="00AF5158">
      <w:pPr>
        <w:jc w:val="both"/>
        <w:rPr>
          <w:rFonts w:ascii="Times New Roman" w:hAnsi="Times New Roman" w:cs="Times New Roman"/>
        </w:rPr>
      </w:pPr>
      <w:r>
        <w:rPr>
          <w:rFonts w:ascii="Times New Roman" w:hAnsi="Times New Roman" w:cs="Times New Roman"/>
        </w:rPr>
        <w:t xml:space="preserve">При углах </w:t>
      </w:r>
      <w:r>
        <w:rPr>
          <w:rFonts w:ascii="Times New Roman" w:hAnsi="Times New Roman" w:cs="Times New Roman"/>
        </w:rPr>
        <w:sym w:font="Symbol" w:char="F051"/>
      </w:r>
      <w:r>
        <w:rPr>
          <w:rFonts w:ascii="Times New Roman" w:hAnsi="Times New Roman" w:cs="Times New Roman"/>
        </w:rPr>
        <w:t>=7</w:t>
      </w:r>
      <w:r>
        <w:rPr>
          <w:rFonts w:ascii="Times New Roman" w:hAnsi="Times New Roman" w:cs="Times New Roman"/>
        </w:rPr>
        <w:sym w:font="Symbol" w:char="F0B0"/>
      </w:r>
      <w:r>
        <w:rPr>
          <w:rFonts w:ascii="Times New Roman" w:hAnsi="Times New Roman" w:cs="Times New Roman"/>
        </w:rPr>
        <w:t xml:space="preserve"> погрешность линейности составляет 1%.</w:t>
      </w:r>
    </w:p>
    <w:p w:rsidR="00897865" w:rsidRDefault="00AF5158">
      <w:pPr>
        <w:jc w:val="both"/>
        <w:rPr>
          <w:rFonts w:ascii="Times New Roman" w:hAnsi="Times New Roman" w:cs="Times New Roman"/>
        </w:rPr>
      </w:pPr>
      <w:r>
        <w:rPr>
          <w:rFonts w:ascii="Times New Roman" w:hAnsi="Times New Roman" w:cs="Times New Roman"/>
        </w:rPr>
        <w:t>На рис. 3 показаны различные виды магнитооптических преобразователей Фарадея. Самый простой преобразователь состоит из магнитооптического элемента 2, располо</w:t>
      </w:r>
      <w:r>
        <w:rPr>
          <w:rFonts w:ascii="Times New Roman" w:hAnsi="Times New Roman" w:cs="Times New Roman"/>
        </w:rPr>
        <w:softHyphen/>
        <w:t xml:space="preserve">женного у провода 1 с измеряемым током (рис. 3, а). Уменьшения влияния внешних магнитных полей и увеличения чувствительности средств измерений, основанных на использовании эффекта Фарадея, к току </w:t>
      </w:r>
      <w:r>
        <w:rPr>
          <w:rFonts w:ascii="Times New Roman" w:hAnsi="Times New Roman" w:cs="Times New Roman"/>
          <w:position w:val="-12"/>
        </w:rPr>
        <w:object w:dxaOrig="3080" w:dyaOrig="420">
          <v:shape id="_x0000_i1039" type="#_x0000_t75" style="width:153.75pt;height:21pt" o:ole="">
            <v:imagedata r:id="rId25" o:title=""/>
          </v:shape>
          <o:OLEObject Type="Embed" ProgID="Equation.3" ShapeID="_x0000_i1039" DrawAspect="Content" ObjectID="_1454300602" r:id="rId26"/>
        </w:object>
      </w:r>
      <w:r>
        <w:rPr>
          <w:rFonts w:ascii="Times New Roman" w:hAnsi="Times New Roman" w:cs="Times New Roman"/>
        </w:rPr>
        <w:t xml:space="preserve"> можно достигнуть путем увеличения коэффициента преобразования </w:t>
      </w:r>
      <w:r>
        <w:rPr>
          <w:rFonts w:ascii="Times New Roman" w:hAnsi="Times New Roman" w:cs="Times New Roman"/>
          <w:position w:val="-12"/>
        </w:rPr>
        <w:object w:dxaOrig="1840" w:dyaOrig="420">
          <v:shape id="_x0000_i1040" type="#_x0000_t75" style="width:92.25pt;height:21pt" o:ole="">
            <v:imagedata r:id="rId27" o:title=""/>
          </v:shape>
          <o:OLEObject Type="Embed" ProgID="Equation.3" ShapeID="_x0000_i1040" DrawAspect="Content" ObjectID="_1454300603" r:id="rId28"/>
        </w:object>
      </w:r>
      <w:r>
        <w:rPr>
          <w:rFonts w:ascii="Times New Roman" w:hAnsi="Times New Roman" w:cs="Times New Roman"/>
        </w:rPr>
        <w:t>, применяя соленоид (рис. 3, б) или ферромагнитный магнитопровод 3 с магнитооптическим элементом 2, охватывающим провод 1 с измеряемым током (рис. 3, в). Однако использование таких преобразователей связано с ухудшением динамических характеристик прибора и появлением фазовых погрешностей, а у прибора с магнитопроводом — погрешностей гистерезиса и линейности. Более рациональный путь повышения чувствительности — увеличение длины пути прохождения светового луча в магнитооптическом элементе за счет многократного отражения (рис. 3, г) или использование многовиткового магнитооптического преобразователя из гибкого волоконного световода (рис. 3, д). Этот преобразователь, так же как преобразователь, показанный на рис. 3, е, одновременно является своеобразным интегрирующим контуром, что позволяет установить однозначную зависимость между током и углом поворота плоскости поляризации света и исключить влияние внешних магнитных полей и неравномерного распределения тока внутри контура:</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gridCol w:w="1"/>
      </w:tblGrid>
      <w:tr w:rsidR="00897865">
        <w:tc>
          <w:tcPr>
            <w:tcW w:w="9211" w:type="dxa"/>
            <w:gridSpan w:val="3"/>
            <w:tcBorders>
              <w:top w:val="single" w:sz="6" w:space="0" w:color="auto"/>
              <w:left w:val="single" w:sz="6" w:space="0" w:color="auto"/>
              <w:bottom w:val="nil"/>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41" type="#_x0000_t75" style="width:471pt;height:146.25pt" fillcolor="window">
                  <v:imagedata r:id="rId29" o:title="" cropbottom="6627f" cropleft="4927f" cropright="1458f"/>
                </v:shape>
              </w:pict>
            </w:r>
          </w:p>
          <w:p w:rsidR="00897865" w:rsidRDefault="00AF5158">
            <w:pPr>
              <w:jc w:val="both"/>
              <w:rPr>
                <w:rFonts w:ascii="Times New Roman" w:hAnsi="Times New Roman" w:cs="Times New Roman"/>
              </w:rPr>
            </w:pPr>
            <w:r>
              <w:rPr>
                <w:rFonts w:ascii="Times New Roman" w:hAnsi="Times New Roman" w:cs="Times New Roman"/>
              </w:rPr>
              <w:t>Рис. 4, а.</w:t>
            </w:r>
          </w:p>
        </w:tc>
      </w:tr>
      <w:tr w:rsidR="00897865">
        <w:tc>
          <w:tcPr>
            <w:tcW w:w="9211" w:type="dxa"/>
            <w:gridSpan w:val="3"/>
            <w:tcBorders>
              <w:top w:val="double" w:sz="6" w:space="0" w:color="auto"/>
              <w:left w:val="single" w:sz="6" w:space="0" w:color="auto"/>
              <w:bottom w:val="nil"/>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42" type="#_x0000_t75" style="width:492.75pt;height:157.5pt" fillcolor="window">
                  <v:imagedata r:id="rId30" o:title="" cropbottom="8859f" cropleft="4021f" cropright="6583f"/>
                </v:shape>
              </w:pict>
            </w:r>
          </w:p>
          <w:p w:rsidR="00897865" w:rsidRDefault="00AF5158">
            <w:pPr>
              <w:jc w:val="both"/>
              <w:rPr>
                <w:rFonts w:ascii="Times New Roman" w:hAnsi="Times New Roman" w:cs="Times New Roman"/>
              </w:rPr>
            </w:pPr>
            <w:r>
              <w:rPr>
                <w:rFonts w:ascii="Times New Roman" w:hAnsi="Times New Roman" w:cs="Times New Roman"/>
              </w:rPr>
              <w:t>Рис. 4, б.</w:t>
            </w:r>
          </w:p>
        </w:tc>
      </w:tr>
      <w:tr w:rsidR="00897865">
        <w:trPr>
          <w:gridAfter w:val="1"/>
        </w:trPr>
        <w:tc>
          <w:tcPr>
            <w:tcW w:w="4605" w:type="dxa"/>
            <w:tcBorders>
              <w:top w:val="double" w:sz="6" w:space="0" w:color="auto"/>
              <w:left w:val="single" w:sz="6" w:space="0" w:color="auto"/>
              <w:bottom w:val="single" w:sz="6" w:space="0" w:color="auto"/>
              <w:right w:val="doub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43" type="#_x0000_t75" style="width:222pt;height:176.25pt" fillcolor="window">
                  <v:imagedata r:id="rId31" o:title=""/>
                </v:shape>
              </w:pict>
            </w:r>
          </w:p>
          <w:p w:rsidR="00897865" w:rsidRDefault="00AF5158">
            <w:pPr>
              <w:jc w:val="both"/>
              <w:rPr>
                <w:rFonts w:ascii="Times New Roman" w:hAnsi="Times New Roman" w:cs="Times New Roman"/>
              </w:rPr>
            </w:pPr>
            <w:r>
              <w:rPr>
                <w:rFonts w:ascii="Times New Roman" w:hAnsi="Times New Roman" w:cs="Times New Roman"/>
              </w:rPr>
              <w:t>Рис. 4, в.</w:t>
            </w:r>
          </w:p>
        </w:tc>
        <w:tc>
          <w:tcPr>
            <w:tcW w:w="4605" w:type="dxa"/>
            <w:tcBorders>
              <w:top w:val="double" w:sz="6" w:space="0" w:color="auto"/>
              <w:left w:val="nil"/>
              <w:bottom w:val="single" w:sz="6" w:space="0" w:color="auto"/>
              <w:right w:val="single" w:sz="6" w:space="0" w:color="auto"/>
            </w:tcBorders>
          </w:tcPr>
          <w:p w:rsidR="00897865" w:rsidRDefault="003A71C8">
            <w:pPr>
              <w:jc w:val="both"/>
              <w:rPr>
                <w:rFonts w:ascii="Times New Roman" w:hAnsi="Times New Roman" w:cs="Times New Roman"/>
              </w:rPr>
            </w:pPr>
            <w:r>
              <w:rPr>
                <w:rFonts w:ascii="Times New Roman" w:hAnsi="Times New Roman" w:cs="Times New Roman"/>
              </w:rPr>
              <w:pict>
                <v:shape id="_x0000_i1044" type="#_x0000_t75" style="width:223.5pt;height:177.75pt" fillcolor="window">
                  <v:imagedata r:id="rId32" o:title=""/>
                </v:shape>
              </w:pict>
            </w:r>
          </w:p>
          <w:p w:rsidR="00897865" w:rsidRDefault="00AF5158">
            <w:pPr>
              <w:jc w:val="both"/>
              <w:rPr>
                <w:rFonts w:ascii="Times New Roman" w:hAnsi="Times New Roman" w:cs="Times New Roman"/>
              </w:rPr>
            </w:pPr>
            <w:r>
              <w:rPr>
                <w:rFonts w:ascii="Times New Roman" w:hAnsi="Times New Roman" w:cs="Times New Roman"/>
              </w:rPr>
              <w:t>Рис. 4, г.</w:t>
            </w:r>
          </w:p>
        </w:tc>
      </w:tr>
    </w:tbl>
    <w:p w:rsidR="00897865" w:rsidRDefault="00AF5158">
      <w:pPr>
        <w:jc w:val="both"/>
        <w:rPr>
          <w:rFonts w:ascii="Times New Roman" w:hAnsi="Times New Roman" w:cs="Times New Roman"/>
        </w:rPr>
      </w:pPr>
      <w:r>
        <w:rPr>
          <w:rFonts w:ascii="Times New Roman" w:hAnsi="Times New Roman" w:cs="Times New Roman"/>
          <w:position w:val="-22"/>
        </w:rPr>
        <w:object w:dxaOrig="3460" w:dyaOrig="600">
          <v:shape id="_x0000_i1045" type="#_x0000_t75" style="width:173.25pt;height:30pt" o:ole="">
            <v:imagedata r:id="rId33" o:title=""/>
          </v:shape>
          <o:OLEObject Type="Embed" ProgID="Equation.3" ShapeID="_x0000_i1045" DrawAspect="Content" ObjectID="_1454300604" r:id="rId34"/>
        </w:object>
      </w:r>
    </w:p>
    <w:p w:rsidR="00897865" w:rsidRDefault="00AF5158">
      <w:pPr>
        <w:jc w:val="both"/>
        <w:rPr>
          <w:rFonts w:ascii="Times New Roman" w:hAnsi="Times New Roman" w:cs="Times New Roman"/>
        </w:rPr>
      </w:pPr>
      <w:r>
        <w:rPr>
          <w:rFonts w:ascii="Times New Roman" w:hAnsi="Times New Roman" w:cs="Times New Roman"/>
        </w:rPr>
        <w:t>В качестве рабочего вещества для магнитооптических преобразователей применяются стекла, содержащие оксид свинца (флинты, кроны) и плавленый кварц. Особенно большую постоянную Верде имеют пленки из феррита-граната, удельное фарадеевское вращение плоскости поляризации света в которых на два-три порядка больше, чем в стеклах.</w:t>
      </w:r>
    </w:p>
    <w:p w:rsidR="00897865" w:rsidRDefault="00AF5158">
      <w:pPr>
        <w:jc w:val="both"/>
        <w:rPr>
          <w:rFonts w:ascii="Times New Roman" w:hAnsi="Times New Roman" w:cs="Times New Roman"/>
        </w:rPr>
      </w:pPr>
      <w:bookmarkStart w:id="5" w:name="_Toc356151909"/>
      <w:r>
        <w:rPr>
          <w:rFonts w:ascii="Times New Roman" w:hAnsi="Times New Roman" w:cs="Times New Roman"/>
        </w:rPr>
        <w:t>Измерение напряжения с использованием электрооптических эффектов Керра и Поккельса</w:t>
      </w:r>
      <w:bookmarkEnd w:id="5"/>
    </w:p>
    <w:p w:rsidR="00897865" w:rsidRDefault="00AF5158">
      <w:pPr>
        <w:jc w:val="both"/>
        <w:rPr>
          <w:rFonts w:ascii="Times New Roman" w:hAnsi="Times New Roman" w:cs="Times New Roman"/>
        </w:rPr>
      </w:pPr>
      <w:r>
        <w:rPr>
          <w:rFonts w:ascii="Times New Roman" w:hAnsi="Times New Roman" w:cs="Times New Roman"/>
        </w:rPr>
        <w:t>Измерение напряжения с использованием электрооптических эффектов Керра и Поккельса основано на возникновении двулучепреломления поляризованного света, распространяющегося в электрическом поле, создаваемом измеряемым напряжением.</w:t>
      </w:r>
    </w:p>
    <w:p w:rsidR="00897865" w:rsidRDefault="00AF5158">
      <w:pPr>
        <w:jc w:val="both"/>
        <w:rPr>
          <w:rFonts w:ascii="Times New Roman" w:hAnsi="Times New Roman" w:cs="Times New Roman"/>
        </w:rPr>
      </w:pPr>
      <w:r>
        <w:rPr>
          <w:rFonts w:ascii="Times New Roman" w:hAnsi="Times New Roman" w:cs="Times New Roman"/>
        </w:rPr>
        <w:t>Возникновение квадратичного эффекта Керра поясняется на рис. 4, а. Поляризованный луч света, образуемый с помощью источника света 1 и поляризатора 2, проходит через электрическое поле, создаваемое конденсатором 3, к электродам которого приложено измеряемое напряжение U</w:t>
      </w:r>
      <w:r>
        <w:rPr>
          <w:rFonts w:ascii="Times New Roman" w:hAnsi="Times New Roman" w:cs="Times New Roman"/>
          <w:vertAlign w:val="subscript"/>
        </w:rPr>
        <w:t>X</w:t>
      </w:r>
      <w:r>
        <w:rPr>
          <w:rFonts w:ascii="Times New Roman" w:hAnsi="Times New Roman" w:cs="Times New Roman"/>
        </w:rPr>
        <w:t>. При этом луч света направлен перпендикулярно вектору напряженности этого поля. После анализатора 4 свет попадает в фотоприемник 5, где он преобразуется в электрический сигнал, измеряемый прибором 6.</w:t>
      </w:r>
    </w:p>
    <w:p w:rsidR="00897865" w:rsidRDefault="00AF5158">
      <w:pPr>
        <w:jc w:val="both"/>
        <w:rPr>
          <w:rFonts w:ascii="Times New Roman" w:hAnsi="Times New Roman" w:cs="Times New Roman"/>
        </w:rPr>
      </w:pPr>
      <w:r>
        <w:rPr>
          <w:rFonts w:ascii="Times New Roman" w:hAnsi="Times New Roman" w:cs="Times New Roman"/>
        </w:rPr>
        <w:t>Интенсивность света на выходе преобразователя Керра определяется выражением</w:t>
      </w:r>
    </w:p>
    <w:p w:rsidR="00897865" w:rsidRDefault="00AF5158">
      <w:pPr>
        <w:jc w:val="both"/>
        <w:rPr>
          <w:rFonts w:ascii="Times New Roman" w:hAnsi="Times New Roman" w:cs="Times New Roman"/>
        </w:rPr>
      </w:pPr>
      <w:r>
        <w:rPr>
          <w:rFonts w:ascii="Times New Roman" w:hAnsi="Times New Roman" w:cs="Times New Roman"/>
          <w:position w:val="-40"/>
        </w:rPr>
        <w:object w:dxaOrig="3760" w:dyaOrig="980">
          <v:shape id="_x0000_i1046" type="#_x0000_t75" style="width:188.25pt;height:48.75pt" o:ole="">
            <v:imagedata r:id="rId35" o:title=""/>
          </v:shape>
          <o:OLEObject Type="Embed" ProgID="Equation.3" ShapeID="_x0000_i1046" DrawAspect="Content" ObjectID="_1454300605" r:id="rId36"/>
        </w:object>
      </w:r>
    </w:p>
    <w:p w:rsidR="00897865" w:rsidRDefault="00AF5158">
      <w:pPr>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l</w:t>
      </w:r>
      <w:r>
        <w:rPr>
          <w:rFonts w:ascii="Times New Roman" w:hAnsi="Times New Roman" w:cs="Times New Roman"/>
          <w:i/>
          <w:iCs/>
          <w:vertAlign w:val="subscript"/>
        </w:rPr>
        <w:t>K</w:t>
      </w:r>
      <w:r>
        <w:rPr>
          <w:rFonts w:ascii="Times New Roman" w:hAnsi="Times New Roman" w:cs="Times New Roman"/>
        </w:rPr>
        <w:t xml:space="preserve"> — эффективная длина преобразователя Керра; d — расстояние между его электродами; </w:t>
      </w:r>
      <w:r>
        <w:rPr>
          <w:rFonts w:ascii="Times New Roman" w:hAnsi="Times New Roman" w:cs="Times New Roman"/>
          <w:i/>
          <w:iCs/>
        </w:rPr>
        <w:t>С</w:t>
      </w:r>
      <w:r>
        <w:rPr>
          <w:rFonts w:ascii="Times New Roman" w:hAnsi="Times New Roman" w:cs="Times New Roman"/>
          <w:i/>
          <w:iCs/>
          <w:vertAlign w:val="subscript"/>
        </w:rPr>
        <w:t>K</w:t>
      </w:r>
      <w:r>
        <w:rPr>
          <w:rFonts w:ascii="Times New Roman" w:hAnsi="Times New Roman" w:cs="Times New Roman"/>
        </w:rPr>
        <w:t xml:space="preserve"> — коэффициент Keppa; </w:t>
      </w:r>
      <w:r>
        <w:rPr>
          <w:rFonts w:ascii="Times New Roman" w:hAnsi="Times New Roman" w:cs="Times New Roman"/>
          <w:i/>
          <w:iCs/>
        </w:rPr>
        <w:t>J</w:t>
      </w:r>
      <w:r>
        <w:rPr>
          <w:rFonts w:ascii="Times New Roman" w:hAnsi="Times New Roman" w:cs="Times New Roman"/>
          <w:i/>
          <w:iCs/>
          <w:vertAlign w:val="subscript"/>
        </w:rPr>
        <w:t>0</w:t>
      </w:r>
      <w:r>
        <w:rPr>
          <w:rFonts w:ascii="Times New Roman" w:hAnsi="Times New Roman" w:cs="Times New Roman"/>
        </w:rPr>
        <w:t xml:space="preserve"> — интенсивность света на входе преобразователя.</w:t>
      </w:r>
    </w:p>
    <w:p w:rsidR="00897865" w:rsidRDefault="00AF5158">
      <w:pPr>
        <w:jc w:val="both"/>
        <w:rPr>
          <w:rFonts w:ascii="Times New Roman" w:hAnsi="Times New Roman" w:cs="Times New Roman"/>
        </w:rPr>
      </w:pPr>
      <w:r>
        <w:rPr>
          <w:rFonts w:ascii="Times New Roman" w:hAnsi="Times New Roman" w:cs="Times New Roman"/>
        </w:rPr>
        <w:t>Эффект Керра возникает во многих изотропных веществах, но наиболее часто используется нитробензол, который имеет наибольший коэффициент Керра по сравнению с другими веществами (вода, бензол, эпоксидные компаунды и др.).</w:t>
      </w:r>
    </w:p>
    <w:p w:rsidR="00897865" w:rsidRDefault="00AF5158">
      <w:pPr>
        <w:jc w:val="both"/>
        <w:rPr>
          <w:rFonts w:ascii="Times New Roman" w:hAnsi="Times New Roman" w:cs="Times New Roman"/>
        </w:rPr>
      </w:pPr>
      <w:r>
        <w:rPr>
          <w:rFonts w:ascii="Times New Roman" w:hAnsi="Times New Roman" w:cs="Times New Roman"/>
        </w:rPr>
        <w:t>Линейный электрооптический эффект Поккельса наблюдается в пьезоэлектрических кристаллах, находящихся в электрическом поле. В зависимости от направления вектора напряженности электрического поля возникает продольный или поперечный эффект Поккельса. Продольный эффект сильнее всего проявляется в кристаллах дигидрофосфата аммония NH</w:t>
      </w:r>
      <w:r>
        <w:rPr>
          <w:rFonts w:ascii="Times New Roman" w:hAnsi="Times New Roman" w:cs="Times New Roman"/>
          <w:vertAlign w:val="subscript"/>
        </w:rPr>
        <w:t>4</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xml:space="preserve"> или гидрофосфата калия KH</w:t>
      </w:r>
      <w:r>
        <w:rPr>
          <w:rFonts w:ascii="Times New Roman" w:hAnsi="Times New Roman" w:cs="Times New Roman"/>
          <w:vertAlign w:val="subscript"/>
        </w:rPr>
        <w:t>2</w:t>
      </w:r>
      <w:r>
        <w:rPr>
          <w:rFonts w:ascii="Times New Roman" w:hAnsi="Times New Roman" w:cs="Times New Roman"/>
        </w:rPr>
        <w:t>PO</w:t>
      </w:r>
      <w:r>
        <w:rPr>
          <w:rFonts w:ascii="Times New Roman" w:hAnsi="Times New Roman" w:cs="Times New Roman"/>
          <w:vertAlign w:val="subscript"/>
        </w:rPr>
        <w:t>4</w:t>
      </w:r>
      <w:r>
        <w:rPr>
          <w:rFonts w:ascii="Times New Roman" w:hAnsi="Times New Roman" w:cs="Times New Roman"/>
        </w:rPr>
        <w:t>, где электрическое поле создается при помощи кольцевых электродов 7, к которым приложено измеряемое напряжение U</w:t>
      </w:r>
      <w:r>
        <w:rPr>
          <w:rFonts w:ascii="Times New Roman" w:hAnsi="Times New Roman" w:cs="Times New Roman"/>
          <w:vertAlign w:val="subscript"/>
        </w:rPr>
        <w:t>X</w:t>
      </w:r>
      <w:r>
        <w:rPr>
          <w:rFonts w:ascii="Times New Roman" w:hAnsi="Times New Roman" w:cs="Times New Roman"/>
        </w:rPr>
        <w:t xml:space="preserve"> (рис. 4, б). Поперечный эффект сильно проявляется в кристаллах ниобата лития LiNbO</w:t>
      </w:r>
      <w:r>
        <w:rPr>
          <w:rFonts w:ascii="Times New Roman" w:hAnsi="Times New Roman" w:cs="Times New Roman"/>
          <w:vertAlign w:val="subscript"/>
        </w:rPr>
        <w:t>3</w:t>
      </w:r>
      <w:r>
        <w:rPr>
          <w:rFonts w:ascii="Times New Roman" w:hAnsi="Times New Roman" w:cs="Times New Roman"/>
        </w:rPr>
        <w:t>, которые используются в электрооптических модуляторах света.</w:t>
      </w:r>
    </w:p>
    <w:p w:rsidR="00897865" w:rsidRDefault="00AF5158">
      <w:pPr>
        <w:jc w:val="both"/>
        <w:rPr>
          <w:rFonts w:ascii="Times New Roman" w:hAnsi="Times New Roman" w:cs="Times New Roman"/>
        </w:rPr>
      </w:pPr>
      <w:r>
        <w:rPr>
          <w:rFonts w:ascii="Times New Roman" w:hAnsi="Times New Roman" w:cs="Times New Roman"/>
        </w:rPr>
        <w:t>Интенсивность света на выходе преобразователя Поккельса можно определить из выражения</w:t>
      </w:r>
    </w:p>
    <w:p w:rsidR="00897865" w:rsidRDefault="00AF5158">
      <w:pPr>
        <w:jc w:val="both"/>
        <w:rPr>
          <w:rFonts w:ascii="Times New Roman" w:hAnsi="Times New Roman" w:cs="Times New Roman"/>
        </w:rPr>
      </w:pPr>
      <w:r>
        <w:rPr>
          <w:rFonts w:ascii="Times New Roman" w:hAnsi="Times New Roman" w:cs="Times New Roman"/>
          <w:position w:val="-40"/>
        </w:rPr>
        <w:object w:dxaOrig="6940" w:dyaOrig="980">
          <v:shape id="_x0000_i1047" type="#_x0000_t75" style="width:347.25pt;height:48.75pt" o:ole="">
            <v:imagedata r:id="rId37" o:title=""/>
          </v:shape>
          <o:OLEObject Type="Embed" ProgID="Equation.3" ShapeID="_x0000_i1047" DrawAspect="Content" ObjectID="_1454300606" r:id="rId38"/>
        </w:object>
      </w:r>
    </w:p>
    <w:p w:rsidR="00897865" w:rsidRDefault="00AF5158">
      <w:pPr>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r</w:t>
      </w:r>
      <w:r>
        <w:rPr>
          <w:rFonts w:ascii="Times New Roman" w:hAnsi="Times New Roman" w:cs="Times New Roman"/>
          <w:i/>
          <w:iCs/>
          <w:vertAlign w:val="subscript"/>
        </w:rPr>
        <w:t>63</w:t>
      </w:r>
      <w:r>
        <w:rPr>
          <w:rFonts w:ascii="Times New Roman" w:hAnsi="Times New Roman" w:cs="Times New Roman"/>
        </w:rPr>
        <w:t xml:space="preserve"> — электрооптический коэффициент кристалла; </w:t>
      </w:r>
      <w:r>
        <w:rPr>
          <w:rFonts w:ascii="Times New Roman" w:hAnsi="Times New Roman" w:cs="Times New Roman"/>
          <w:i/>
          <w:iCs/>
        </w:rPr>
        <w:t>n</w:t>
      </w:r>
      <w:r>
        <w:rPr>
          <w:rFonts w:ascii="Times New Roman" w:hAnsi="Times New Roman" w:cs="Times New Roman"/>
          <w:i/>
          <w:iCs/>
          <w:vertAlign w:val="subscript"/>
        </w:rPr>
        <w:t>0</w:t>
      </w:r>
      <w:r>
        <w:rPr>
          <w:rFonts w:ascii="Times New Roman" w:hAnsi="Times New Roman" w:cs="Times New Roman"/>
        </w:rPr>
        <w:t xml:space="preserve"> — его показатель преломления при отсутствии электрического поля; </w:t>
      </w:r>
      <w:r>
        <w:rPr>
          <w:rFonts w:ascii="Times New Roman" w:hAnsi="Times New Roman" w:cs="Times New Roman"/>
          <w:i/>
          <w:iCs/>
        </w:rPr>
        <w:sym w:font="Symbol" w:char="F06C"/>
      </w:r>
      <w:r>
        <w:rPr>
          <w:rFonts w:ascii="Times New Roman" w:hAnsi="Times New Roman" w:cs="Times New Roman"/>
        </w:rPr>
        <w:t xml:space="preserve"> -длина волны излучения лазера; </w:t>
      </w:r>
      <w:r>
        <w:rPr>
          <w:rFonts w:ascii="Times New Roman" w:hAnsi="Times New Roman" w:cs="Times New Roman"/>
          <w:i/>
          <w:iCs/>
        </w:rPr>
        <w:t>Е</w:t>
      </w:r>
      <w:r>
        <w:rPr>
          <w:rFonts w:ascii="Times New Roman" w:hAnsi="Times New Roman" w:cs="Times New Roman"/>
          <w:i/>
          <w:iCs/>
          <w:vertAlign w:val="subscript"/>
        </w:rPr>
        <w:t>X</w:t>
      </w:r>
      <w:r>
        <w:rPr>
          <w:rFonts w:ascii="Times New Roman" w:hAnsi="Times New Roman" w:cs="Times New Roman"/>
        </w:rPr>
        <w:t xml:space="preserve"> — напряженность электрического поля; </w:t>
      </w:r>
      <w:r>
        <w:rPr>
          <w:rFonts w:ascii="Times New Roman" w:hAnsi="Times New Roman" w:cs="Times New Roman"/>
          <w:i/>
          <w:iCs/>
        </w:rPr>
        <w:t>l</w:t>
      </w:r>
      <w:r>
        <w:rPr>
          <w:rFonts w:ascii="Times New Roman" w:hAnsi="Times New Roman" w:cs="Times New Roman"/>
          <w:i/>
          <w:iCs/>
          <w:vertAlign w:val="subscript"/>
        </w:rPr>
        <w:t>П</w:t>
      </w:r>
      <w:r>
        <w:rPr>
          <w:rFonts w:ascii="Times New Roman" w:hAnsi="Times New Roman" w:cs="Times New Roman"/>
        </w:rPr>
        <w:t xml:space="preserve"> — эффективная длина преобразователя Поккельса.</w:t>
      </w:r>
    </w:p>
    <w:p w:rsidR="00897865" w:rsidRDefault="00AF5158">
      <w:pPr>
        <w:jc w:val="both"/>
        <w:rPr>
          <w:rFonts w:ascii="Times New Roman" w:hAnsi="Times New Roman" w:cs="Times New Roman"/>
        </w:rPr>
      </w:pPr>
      <w:r>
        <w:rPr>
          <w:rFonts w:ascii="Times New Roman" w:hAnsi="Times New Roman" w:cs="Times New Roman"/>
        </w:rPr>
        <w:t>Статическими характеристики преобразователей Керра и Поккельса показаны соответственно на рис. 4, в и рис. 4, г.</w:t>
      </w:r>
    </w:p>
    <w:p w:rsidR="00897865" w:rsidRDefault="00AF5158">
      <w:pPr>
        <w:jc w:val="both"/>
        <w:rPr>
          <w:rFonts w:ascii="Times New Roman" w:hAnsi="Times New Roman" w:cs="Times New Roman"/>
        </w:rPr>
      </w:pPr>
      <w:bookmarkStart w:id="6" w:name="_Toc356151910"/>
      <w:r>
        <w:rPr>
          <w:rFonts w:ascii="Times New Roman" w:hAnsi="Times New Roman" w:cs="Times New Roman"/>
        </w:rPr>
        <w:t>Список литературы</w:t>
      </w:r>
      <w:bookmarkEnd w:id="6"/>
    </w:p>
    <w:p w:rsidR="00897865" w:rsidRDefault="00AF5158">
      <w:pPr>
        <w:jc w:val="both"/>
        <w:rPr>
          <w:rFonts w:ascii="Times New Roman" w:hAnsi="Times New Roman" w:cs="Times New Roman"/>
        </w:rPr>
      </w:pPr>
      <w:r>
        <w:rPr>
          <w:rFonts w:ascii="Times New Roman" w:hAnsi="Times New Roman" w:cs="Times New Roman"/>
        </w:rPr>
        <w:t>Безикович А.Я., Шапиро Е.З. Измерение электрической мощности.</w:t>
      </w:r>
    </w:p>
    <w:p w:rsidR="00897865" w:rsidRDefault="00AF5158">
      <w:pPr>
        <w:jc w:val="both"/>
        <w:rPr>
          <w:rFonts w:ascii="Times New Roman" w:hAnsi="Times New Roman" w:cs="Times New Roman"/>
        </w:rPr>
      </w:pPr>
      <w:r>
        <w:rPr>
          <w:rFonts w:ascii="Times New Roman" w:hAnsi="Times New Roman" w:cs="Times New Roman"/>
        </w:rPr>
        <w:t>Спектор С.А. Измерение больших постоянных токов.</w:t>
      </w:r>
    </w:p>
    <w:p w:rsidR="00897865" w:rsidRDefault="00AF5158">
      <w:pPr>
        <w:jc w:val="both"/>
        <w:rPr>
          <w:rFonts w:ascii="Times New Roman" w:hAnsi="Times New Roman" w:cs="Times New Roman"/>
        </w:rPr>
      </w:pPr>
      <w:r>
        <w:rPr>
          <w:rFonts w:ascii="Times New Roman" w:hAnsi="Times New Roman" w:cs="Times New Roman"/>
        </w:rPr>
        <w:t>Спектор С.А. Электрические измерения физических величин.</w:t>
      </w:r>
    </w:p>
    <w:p w:rsidR="00897865" w:rsidRDefault="00AF5158">
      <w:pPr>
        <w:jc w:val="both"/>
        <w:rPr>
          <w:rFonts w:ascii="Times New Roman" w:hAnsi="Times New Roman" w:cs="Times New Roman"/>
        </w:rPr>
      </w:pPr>
      <w:r>
        <w:rPr>
          <w:rFonts w:ascii="Times New Roman" w:hAnsi="Times New Roman" w:cs="Times New Roman"/>
        </w:rPr>
        <w:t>Шваб А. Измерения на высоком напряжении.</w:t>
      </w:r>
      <w:bookmarkStart w:id="7" w:name="_GoBack"/>
      <w:bookmarkEnd w:id="7"/>
    </w:p>
    <w:sectPr w:rsidR="00897865">
      <w:pgSz w:w="11907" w:h="15706" w:code="9"/>
      <w:pgMar w:top="567" w:right="1418" w:bottom="1418"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158"/>
    <w:rsid w:val="003A71C8"/>
    <w:rsid w:val="00897865"/>
    <w:rsid w:val="00AF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4DE9A8B3-4828-4571-B825-2A7A9EE2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DL" w:hAnsi="TimesDL" w:cs="TimesD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M1">
    <w:name w:val="PLM абз.1"/>
    <w:basedOn w:val="a"/>
    <w:uiPriority w:val="99"/>
    <w:pPr>
      <w:spacing w:after="60" w:line="288" w:lineRule="auto"/>
      <w:ind w:firstLine="709"/>
      <w:jc w:val="both"/>
    </w:pPr>
  </w:style>
  <w:style w:type="paragraph" w:styleId="1">
    <w:name w:val="toc 1"/>
    <w:basedOn w:val="a"/>
    <w:next w:val="a"/>
    <w:uiPriority w:val="99"/>
    <w:pPr>
      <w:tabs>
        <w:tab w:val="right" w:leader="dot" w:pos="9071"/>
      </w:tabs>
    </w:pPr>
  </w:style>
  <w:style w:type="paragraph" w:customStyle="1" w:styleId="PLM">
    <w:name w:val="PLM табл."/>
    <w:basedOn w:val="PLM1"/>
    <w:next w:val="PLM1"/>
    <w:uiPriority w:val="99"/>
    <w:pPr>
      <w:spacing w:after="0"/>
      <w:ind w:firstLine="0"/>
      <w:jc w:val="center"/>
    </w:pPr>
  </w:style>
  <w:style w:type="paragraph" w:customStyle="1" w:styleId="PLM2">
    <w:name w:val="PLM абз.2"/>
    <w:basedOn w:val="PLM1"/>
    <w:uiPriority w:val="99"/>
    <w:pPr>
      <w:spacing w:line="240" w:lineRule="auto"/>
    </w:pPr>
  </w:style>
  <w:style w:type="paragraph" w:styleId="2">
    <w:name w:val="toc 2"/>
    <w:basedOn w:val="a"/>
    <w:next w:val="a"/>
    <w:uiPriority w:val="99"/>
    <w:pPr>
      <w:tabs>
        <w:tab w:val="right" w:leader="dot" w:pos="9071"/>
      </w:tabs>
      <w:ind w:left="240"/>
    </w:pPr>
  </w:style>
  <w:style w:type="paragraph" w:styleId="3">
    <w:name w:val="toc 3"/>
    <w:basedOn w:val="a"/>
    <w:next w:val="a"/>
    <w:uiPriority w:val="99"/>
    <w:pPr>
      <w:tabs>
        <w:tab w:val="right" w:leader="dot" w:pos="9071"/>
      </w:tabs>
      <w:ind w:left="480"/>
    </w:pPr>
  </w:style>
  <w:style w:type="paragraph" w:customStyle="1" w:styleId="PLM10">
    <w:name w:val="PLM загол 1"/>
    <w:basedOn w:val="a"/>
    <w:next w:val="PLM1"/>
    <w:uiPriority w:val="99"/>
    <w:pPr>
      <w:shd w:val="pct5" w:color="auto" w:fill="auto"/>
      <w:spacing w:before="240" w:after="120" w:line="288" w:lineRule="auto"/>
      <w:ind w:left="567" w:right="567"/>
      <w:jc w:val="center"/>
    </w:pPr>
    <w:rPr>
      <w:sz w:val="32"/>
      <w:szCs w:val="32"/>
    </w:rPr>
  </w:style>
  <w:style w:type="paragraph" w:customStyle="1" w:styleId="PLM20">
    <w:name w:val="PLM загол 2"/>
    <w:basedOn w:val="a"/>
    <w:next w:val="PLM1"/>
    <w:uiPriority w:val="99"/>
    <w:pPr>
      <w:spacing w:before="240" w:after="120" w:line="288" w:lineRule="auto"/>
      <w:ind w:left="567" w:right="567"/>
      <w:jc w:val="center"/>
    </w:pPr>
    <w:rPr>
      <w:b/>
      <w:bCs/>
      <w:sz w:val="28"/>
      <w:szCs w:val="28"/>
    </w:rPr>
  </w:style>
  <w:style w:type="paragraph" w:customStyle="1" w:styleId="PLM3">
    <w:name w:val="PLM загол 3"/>
    <w:basedOn w:val="a"/>
    <w:next w:val="PLM1"/>
    <w:uiPriority w:val="99"/>
    <w:pPr>
      <w:spacing w:before="240" w:after="120" w:line="288" w:lineRule="auto"/>
      <w:ind w:left="567" w:right="567"/>
      <w:jc w:val="center"/>
    </w:pPr>
    <w:rPr>
      <w:sz w:val="28"/>
      <w:szCs w:val="28"/>
      <w:u w:val="single"/>
    </w:rPr>
  </w:style>
  <w:style w:type="paragraph" w:styleId="4">
    <w:name w:val="toc 4"/>
    <w:basedOn w:val="a"/>
    <w:next w:val="a"/>
    <w:uiPriority w:val="99"/>
    <w:pPr>
      <w:tabs>
        <w:tab w:val="right" w:leader="dot" w:pos="9071"/>
      </w:tabs>
      <w:ind w:left="720"/>
    </w:pPr>
  </w:style>
  <w:style w:type="paragraph" w:styleId="5">
    <w:name w:val="toc 5"/>
    <w:basedOn w:val="a"/>
    <w:next w:val="a"/>
    <w:uiPriority w:val="99"/>
    <w:pPr>
      <w:tabs>
        <w:tab w:val="right" w:leader="dot" w:pos="9071"/>
      </w:tabs>
      <w:ind w:left="960"/>
    </w:pPr>
  </w:style>
  <w:style w:type="paragraph" w:styleId="6">
    <w:name w:val="toc 6"/>
    <w:basedOn w:val="a"/>
    <w:next w:val="a"/>
    <w:uiPriority w:val="99"/>
    <w:pPr>
      <w:tabs>
        <w:tab w:val="right" w:leader="dot" w:pos="9071"/>
      </w:tabs>
      <w:ind w:left="1200"/>
    </w:pPr>
  </w:style>
  <w:style w:type="paragraph" w:styleId="7">
    <w:name w:val="toc 7"/>
    <w:basedOn w:val="a"/>
    <w:next w:val="a"/>
    <w:uiPriority w:val="99"/>
    <w:pPr>
      <w:tabs>
        <w:tab w:val="right" w:leader="dot" w:pos="9071"/>
      </w:tabs>
      <w:ind w:left="1440"/>
    </w:pPr>
  </w:style>
  <w:style w:type="paragraph" w:styleId="8">
    <w:name w:val="toc 8"/>
    <w:basedOn w:val="a"/>
    <w:next w:val="a"/>
    <w:uiPriority w:val="99"/>
    <w:pPr>
      <w:tabs>
        <w:tab w:val="right" w:leader="dot" w:pos="9071"/>
      </w:tabs>
      <w:ind w:left="1680"/>
    </w:pPr>
  </w:style>
  <w:style w:type="paragraph" w:styleId="9">
    <w:name w:val="toc 9"/>
    <w:basedOn w:val="a"/>
    <w:next w:val="a"/>
    <w:uiPriority w:val="99"/>
    <w:pPr>
      <w:tabs>
        <w:tab w:val="right" w:leader="dot" w:pos="9071"/>
      </w:tabs>
      <w:ind w:left="1920"/>
    </w:pPr>
  </w:style>
  <w:style w:type="paragraph" w:styleId="a3">
    <w:name w:val="Title"/>
    <w:basedOn w:val="a"/>
    <w:link w:val="a4"/>
    <w:uiPriority w:val="99"/>
    <w:qFormat/>
    <w:pPr>
      <w:tabs>
        <w:tab w:val="left" w:pos="1134"/>
        <w:tab w:val="left" w:pos="2835"/>
        <w:tab w:val="left" w:pos="5670"/>
      </w:tabs>
      <w:spacing w:line="240" w:lineRule="atLeast"/>
      <w:ind w:right="-50"/>
      <w:jc w:val="center"/>
    </w:pPr>
    <w:rPr>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wmf"/><Relationship Id="rId34" Type="http://schemas.openxmlformats.org/officeDocument/2006/relationships/oleObject" Target="embeddings/oleObject10.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image" Target="media/image15.wmf"/><Relationship Id="rId33" Type="http://schemas.openxmlformats.org/officeDocument/2006/relationships/image" Target="media/image21.wmf"/><Relationship Id="rId38"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20.png"/><Relationship Id="rId37" Type="http://schemas.openxmlformats.org/officeDocument/2006/relationships/image" Target="media/image23.wmf"/><Relationship Id="rId40"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oleObject" Target="embeddings/oleObject9.bin"/><Relationship Id="rId36"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19.png"/><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6.bin"/><Relationship Id="rId27" Type="http://schemas.openxmlformats.org/officeDocument/2006/relationships/image" Target="media/image16.wmf"/><Relationship Id="rId30" Type="http://schemas.openxmlformats.org/officeDocument/2006/relationships/image" Target="media/image18.png"/><Relationship Id="rId35"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8690</Characters>
  <Application>Microsoft Office Word</Application>
  <DocSecurity>0</DocSecurity>
  <Lines>72</Lines>
  <Paragraphs>20</Paragraphs>
  <ScaleCrop>false</ScaleCrop>
  <Company> </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Электрооптические методы измерений высоких напряжений и больших токов</dc:title>
  <dc:subject/>
  <dc:creator>Майоров П.Л.</dc:creator>
  <cp:keywords/>
  <dc:description/>
  <cp:lastModifiedBy>admin</cp:lastModifiedBy>
  <cp:revision>2</cp:revision>
  <dcterms:created xsi:type="dcterms:W3CDTF">2014-02-19T05:36:00Z</dcterms:created>
  <dcterms:modified xsi:type="dcterms:W3CDTF">2014-02-19T05:36:00Z</dcterms:modified>
</cp:coreProperties>
</file>