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A7F" w:rsidRDefault="009C0A7F" w:rsidP="009C0A7F">
      <w:pPr>
        <w:pStyle w:val="a3"/>
        <w:spacing w:line="360" w:lineRule="auto"/>
        <w:jc w:val="left"/>
      </w:pPr>
      <w:r>
        <w:t>План</w:t>
      </w:r>
    </w:p>
    <w:p w:rsidR="009C0A7F" w:rsidRDefault="009C0A7F">
      <w:pPr>
        <w:pStyle w:val="af2"/>
      </w:pPr>
      <w:r>
        <w:t>Введение…………………………………………………………………….3</w:t>
      </w:r>
    </w:p>
    <w:p w:rsidR="009C0A7F" w:rsidRDefault="009C0A7F">
      <w:pPr>
        <w:snapToGri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Адвокатура Украины……………………………………………4</w:t>
      </w:r>
    </w:p>
    <w:p w:rsidR="009C0A7F" w:rsidRDefault="009C0A7F">
      <w:pPr>
        <w:numPr>
          <w:ilvl w:val="1"/>
          <w:numId w:val="1"/>
        </w:numPr>
        <w:snapToGri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становления………………………………………………..4</w:t>
      </w:r>
    </w:p>
    <w:p w:rsidR="009C0A7F" w:rsidRDefault="009C0A7F">
      <w:pPr>
        <w:snapToGri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  Понятие,  организация и принципы деятельности адвокатуры…..14</w:t>
      </w:r>
    </w:p>
    <w:p w:rsidR="009C0A7F" w:rsidRDefault="009C0A7F">
      <w:pPr>
        <w:snapToGri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 Деятельность адвокатских объединений……………………...18</w:t>
      </w:r>
    </w:p>
    <w:p w:rsidR="009C0A7F" w:rsidRDefault="009C0A7F">
      <w:pPr>
        <w:numPr>
          <w:ilvl w:val="1"/>
          <w:numId w:val="8"/>
        </w:numPr>
        <w:autoSpaceDE w:val="0"/>
        <w:autoSpaceDN w:val="0"/>
        <w:adjustRightInd w:val="0"/>
        <w:snapToGrid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адвокатских объединений……………………………19</w:t>
      </w:r>
    </w:p>
    <w:p w:rsidR="009C0A7F" w:rsidRDefault="009C0A7F">
      <w:pPr>
        <w:pStyle w:val="2"/>
        <w:numPr>
          <w:ilvl w:val="1"/>
          <w:numId w:val="8"/>
        </w:numPr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Виды адвокатской деятельности……………………………………23</w:t>
      </w:r>
    </w:p>
    <w:p w:rsidR="009C0A7F" w:rsidRDefault="009C0A7F">
      <w:pPr>
        <w:pStyle w:val="2"/>
        <w:numPr>
          <w:ilvl w:val="1"/>
          <w:numId w:val="8"/>
        </w:numPr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Гарантии адвокатской деятельности……………………………….26</w:t>
      </w:r>
    </w:p>
    <w:p w:rsidR="009C0A7F" w:rsidRDefault="009C0A7F">
      <w:pPr>
        <w:pStyle w:val="aa"/>
        <w:autoSpaceDE/>
        <w:autoSpaceDN/>
        <w:adjustRightInd/>
        <w:jc w:val="left"/>
      </w:pPr>
      <w:r>
        <w:t>Раздел 3. Адвокатские объединения в условиях реформирования</w:t>
      </w:r>
    </w:p>
    <w:p w:rsidR="009C0A7F" w:rsidRDefault="009C0A7F">
      <w:pPr>
        <w:pStyle w:val="aa"/>
        <w:autoSpaceDE/>
        <w:autoSpaceDN/>
        <w:adjustRightInd/>
        <w:jc w:val="left"/>
      </w:pPr>
      <w:r>
        <w:t>адвокатуры Украины………………………………………………………28</w:t>
      </w:r>
    </w:p>
    <w:p w:rsidR="009C0A7F" w:rsidRDefault="009C0A7F">
      <w:pPr>
        <w:snapToGri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Заключение…………………………………………………………………35</w:t>
      </w:r>
    </w:p>
    <w:p w:rsidR="009C0A7F" w:rsidRDefault="009C0A7F">
      <w:pPr>
        <w:snapToGri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Литература………………………………………………………………….37</w:t>
      </w:r>
    </w:p>
    <w:p w:rsidR="009C0A7F" w:rsidRDefault="009C0A7F">
      <w:pPr>
        <w:snapToGri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A7F" w:rsidRDefault="009C0A7F">
      <w:pPr>
        <w:snapToGri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A7F" w:rsidRDefault="009C0A7F">
      <w:pPr>
        <w:snapToGri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A7F" w:rsidRDefault="009C0A7F">
      <w:pPr>
        <w:snapToGri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A7F" w:rsidRDefault="009C0A7F">
      <w:pPr>
        <w:snapToGri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A7F" w:rsidRDefault="009C0A7F">
      <w:pPr>
        <w:snapToGri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A7F" w:rsidRDefault="009C0A7F">
      <w:pPr>
        <w:snapToGri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A7F" w:rsidRDefault="009C0A7F">
      <w:pPr>
        <w:snapToGri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A7F" w:rsidRDefault="009C0A7F">
      <w:pPr>
        <w:snapToGri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A7F" w:rsidRDefault="009C0A7F">
      <w:pPr>
        <w:snapToGri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A7F" w:rsidRDefault="009C0A7F">
      <w:pPr>
        <w:snapToGri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A7F" w:rsidRDefault="009C0A7F">
      <w:pPr>
        <w:snapToGri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A7F" w:rsidRDefault="009C0A7F">
      <w:pPr>
        <w:snapToGri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A7F" w:rsidRDefault="009C0A7F">
      <w:pPr>
        <w:snapToGrid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0A7F" w:rsidRDefault="009C0A7F">
      <w:pPr>
        <w:snapToGrid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0A7F" w:rsidRDefault="009C0A7F">
      <w:pPr>
        <w:snapToGrid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0A7F" w:rsidRDefault="009C0A7F">
      <w:pPr>
        <w:snapToGrid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0A7F" w:rsidRDefault="009C0A7F">
      <w:pPr>
        <w:pStyle w:val="4"/>
        <w:ind w:firstLine="540"/>
        <w:jc w:val="center"/>
      </w:pPr>
      <w:r>
        <w:t>Введение</w:t>
      </w:r>
    </w:p>
    <w:p w:rsidR="009C0A7F" w:rsidRDefault="009C0A7F">
      <w:pPr>
        <w:snapToGrid/>
        <w:spacing w:line="36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двокатура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Украине, как один из основных механизмов защиты прав и свобод </w:t>
      </w:r>
      <w:r>
        <w:rPr>
          <w:rFonts w:ascii="Times New Roman" w:hAnsi="Times New Roman" w:cs="Times New Roman"/>
          <w:sz w:val="28"/>
          <w:szCs w:val="28"/>
          <w:lang w:val="uk-UA"/>
        </w:rPr>
        <w:t>человека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занимает ведущее место в правозащитной системе. Поэтому она по праву заняла </w:t>
      </w:r>
      <w:r>
        <w:rPr>
          <w:rFonts w:ascii="Times New Roman" w:hAnsi="Times New Roman" w:cs="Times New Roman"/>
          <w:sz w:val="28"/>
          <w:szCs w:val="28"/>
          <w:lang w:val="uk-UA"/>
        </w:rPr>
        <w:t>свое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место в разделе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Конституции Украины «Права, свободы и обязанности человека и гражданина».</w:t>
      </w:r>
    </w:p>
    <w:p w:rsidR="009C0A7F" w:rsidRDefault="009C0A7F">
      <w:pPr>
        <w:shd w:val="clear" w:color="auto" w:fill="FFFFFF"/>
        <w:snapToGrid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Проблемы организационно-правового характера можно решить </w:t>
      </w:r>
      <w:r>
        <w:rPr>
          <w:rFonts w:ascii="Times New Roman" w:hAnsi="Times New Roman" w:cs="Times New Roman"/>
          <w:sz w:val="28"/>
          <w:szCs w:val="28"/>
          <w:lang w:val="uk-UA"/>
        </w:rPr>
        <w:t>уже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сегодня. Если согласно раньше действующей Конституцией (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978г.) адвокатура определялась, как система коллегий адвокатов, разграниченных на </w:t>
      </w:r>
      <w:r>
        <w:rPr>
          <w:rFonts w:ascii="Times New Roman" w:hAnsi="Times New Roman" w:cs="Times New Roman"/>
          <w:sz w:val="28"/>
          <w:szCs w:val="28"/>
          <w:lang w:val="uk-UA"/>
        </w:rPr>
        <w:t>региональном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уровне, то нынешняя Конституция (ст. 59) однозначно определяет адвокатуру, как </w:t>
      </w:r>
      <w:r>
        <w:rPr>
          <w:rFonts w:ascii="Times New Roman" w:hAnsi="Times New Roman" w:cs="Times New Roman"/>
          <w:sz w:val="28"/>
          <w:szCs w:val="28"/>
          <w:lang w:val="uk-UA"/>
        </w:rPr>
        <w:t>единую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функциональную систему в государстве. Ст. 131 Конституции санкционирует </w:t>
      </w:r>
      <w:r>
        <w:rPr>
          <w:rFonts w:ascii="Times New Roman" w:hAnsi="Times New Roman" w:cs="Times New Roman"/>
          <w:sz w:val="28"/>
          <w:szCs w:val="28"/>
          <w:lang w:val="uk-UA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съезда адвокатов Украины, </w:t>
      </w:r>
      <w:r>
        <w:rPr>
          <w:rFonts w:ascii="Times New Roman" w:hAnsi="Times New Roman" w:cs="Times New Roman"/>
          <w:sz w:val="28"/>
          <w:szCs w:val="28"/>
          <w:lang w:val="uk-UA"/>
        </w:rPr>
        <w:t>которая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есть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олицетворением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высочайшего органа адвокатуры.</w:t>
      </w:r>
    </w:p>
    <w:p w:rsidR="009C0A7F" w:rsidRDefault="009C0A7F">
      <w:pPr>
        <w:shd w:val="clear" w:color="auto" w:fill="FFFFFF"/>
        <w:snapToGrid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Закрепляя основы организации и деятельности адвокатуры (ст. 92 Конституции), действующий Закон «Об адвокатуре» определяет ее как добровольное профессиональное общественное объединение, конечно, общегосударственного уровня.</w:t>
      </w:r>
    </w:p>
    <w:p w:rsidR="009C0A7F" w:rsidRDefault="009C0A7F">
      <w:pPr>
        <w:shd w:val="clear" w:color="auto" w:fill="FFFFFF"/>
        <w:snapToGrid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Этот концептуальный подход дает возможность решить </w:t>
      </w:r>
      <w:r>
        <w:rPr>
          <w:rFonts w:ascii="Times New Roman" w:hAnsi="Times New Roman" w:cs="Times New Roman"/>
          <w:sz w:val="28"/>
          <w:szCs w:val="28"/>
          <w:lang w:val="uk-UA"/>
        </w:rPr>
        <w:t>вопрос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 статусе адвокатуры, как всеукраинской организации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определенной Конституцией и законом </w:t>
      </w:r>
      <w:r>
        <w:rPr>
          <w:rFonts w:ascii="Times New Roman" w:hAnsi="Times New Roman" w:cs="Times New Roman"/>
          <w:sz w:val="28"/>
          <w:szCs w:val="28"/>
          <w:lang w:val="uk-UA"/>
        </w:rPr>
        <w:t>единым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названием — «Адвокатура Украины». При этом следует </w:t>
      </w:r>
      <w:r>
        <w:rPr>
          <w:rFonts w:ascii="Times New Roman" w:hAnsi="Times New Roman" w:cs="Times New Roman"/>
          <w:sz w:val="28"/>
          <w:szCs w:val="28"/>
          <w:lang w:val="uk-UA"/>
        </w:rPr>
        <w:t>выходить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что адвокатуру Украины, как общегосударственное профессиональное объединение, образовывают все адвокаты Украины, то есть лица, которые на основании свидетельства о праве на </w:t>
      </w:r>
      <w:r>
        <w:rPr>
          <w:rFonts w:ascii="Times New Roman" w:hAnsi="Times New Roman" w:cs="Times New Roman"/>
          <w:sz w:val="28"/>
          <w:szCs w:val="28"/>
          <w:lang w:val="uk-UA"/>
        </w:rPr>
        <w:t>занятие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адвокатской деятельностью постоянно занимаются этой деятельностью и в установленном порядке зарегистрированные в адвокатском реестре.</w:t>
      </w:r>
    </w:p>
    <w:p w:rsidR="009C0A7F" w:rsidRDefault="009C0A7F">
      <w:pPr>
        <w:shd w:val="clear" w:color="auto" w:fill="FFFFFF"/>
        <w:snapToGrid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Систему адвокатуры Украины </w:t>
      </w:r>
      <w:r>
        <w:rPr>
          <w:rFonts w:ascii="Times New Roman" w:hAnsi="Times New Roman" w:cs="Times New Roman"/>
          <w:sz w:val="28"/>
          <w:szCs w:val="28"/>
          <w:lang w:val="uk-UA"/>
        </w:rPr>
        <w:t>составляют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адвокаты и местные и региональные адвокатские объединения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соответствующими органами.</w:t>
      </w:r>
    </w:p>
    <w:p w:rsidR="009C0A7F" w:rsidRDefault="009C0A7F">
      <w:pPr>
        <w:shd w:val="clear" w:color="auto" w:fill="FFFFFF"/>
        <w:snapToGrid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Организационно-правовая структура адвокатуры строится по принципам </w:t>
      </w:r>
      <w:r>
        <w:rPr>
          <w:rFonts w:ascii="Times New Roman" w:hAnsi="Times New Roman" w:cs="Times New Roman"/>
          <w:sz w:val="28"/>
          <w:szCs w:val="28"/>
          <w:lang w:val="uk-UA"/>
        </w:rPr>
        <w:t>добровольности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коллегиальности,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териториальности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uk-UA"/>
        </w:rPr>
        <w:t>самоуправление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 схеме: адвокат — адвокатские объединения местного и региональных уровней — адвокатура Украины (общегосударственное адвокатское объединение).</w:t>
      </w:r>
    </w:p>
    <w:p w:rsidR="009C0A7F" w:rsidRDefault="009C0A7F">
      <w:pPr>
        <w:pStyle w:val="3"/>
        <w:ind w:firstLine="5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Заключение</w:t>
      </w:r>
    </w:p>
    <w:p w:rsidR="009C0A7F" w:rsidRDefault="009C0A7F">
      <w:pPr>
        <w:spacing w:before="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граждан квалифицированной юридической по</w:t>
      </w:r>
      <w:r>
        <w:rPr>
          <w:rFonts w:ascii="Times New Roman" w:hAnsi="Times New Roman" w:cs="Times New Roman"/>
          <w:sz w:val="28"/>
          <w:szCs w:val="28"/>
        </w:rPr>
        <w:softHyphen/>
        <w:t>мощью в наши дни считается важным конституционным поло</w:t>
      </w:r>
      <w:r>
        <w:rPr>
          <w:rFonts w:ascii="Times New Roman" w:hAnsi="Times New Roman" w:cs="Times New Roman"/>
          <w:sz w:val="28"/>
          <w:szCs w:val="28"/>
        </w:rPr>
        <w:softHyphen/>
        <w:t>жением. Ему посвящены ст. 59 Конституции Украины и немало дру</w:t>
      </w:r>
      <w:r>
        <w:rPr>
          <w:rFonts w:ascii="Times New Roman" w:hAnsi="Times New Roman" w:cs="Times New Roman"/>
          <w:sz w:val="28"/>
          <w:szCs w:val="28"/>
        </w:rPr>
        <w:softHyphen/>
        <w:t>гих законодательных предписаний. Внимание законодателя к тому, чтобы гражданам предостав</w:t>
      </w:r>
      <w:r>
        <w:rPr>
          <w:rFonts w:ascii="Times New Roman" w:hAnsi="Times New Roman" w:cs="Times New Roman"/>
          <w:sz w:val="28"/>
          <w:szCs w:val="28"/>
        </w:rPr>
        <w:softHyphen/>
        <w:t>лялась квалифицированная юридическая помощь, объясняется прежде всего широким признанием сравнительно простого ис</w:t>
      </w:r>
      <w:r>
        <w:rPr>
          <w:rFonts w:ascii="Times New Roman" w:hAnsi="Times New Roman" w:cs="Times New Roman"/>
          <w:sz w:val="28"/>
          <w:szCs w:val="28"/>
        </w:rPr>
        <w:softHyphen/>
        <w:t>ходного положения: реализация прав и свобод человека и граж</w:t>
      </w:r>
      <w:r>
        <w:rPr>
          <w:rFonts w:ascii="Times New Roman" w:hAnsi="Times New Roman" w:cs="Times New Roman"/>
          <w:sz w:val="28"/>
          <w:szCs w:val="28"/>
        </w:rPr>
        <w:softHyphen/>
        <w:t>данина возможна в полной мере, когда они отстаиваются со знанием дела, квалифицированно.</w:t>
      </w:r>
    </w:p>
    <w:p w:rsidR="009C0A7F" w:rsidRDefault="009C0A7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Такую реализацию может осуществлять далеко не всякий. Для нее требуется не только умение читать законодательство, но и умение понимать его, а также навыки по быстрому отыс</w:t>
      </w:r>
      <w:r>
        <w:rPr>
          <w:rFonts w:ascii="Times New Roman" w:hAnsi="Times New Roman" w:cs="Times New Roman"/>
          <w:sz w:val="28"/>
          <w:szCs w:val="28"/>
        </w:rPr>
        <w:softHyphen/>
        <w:t>канию того акта, который нужен для решения возникшего во</w:t>
      </w:r>
      <w:r>
        <w:rPr>
          <w:rFonts w:ascii="Times New Roman" w:hAnsi="Times New Roman" w:cs="Times New Roman"/>
          <w:sz w:val="28"/>
          <w:szCs w:val="28"/>
        </w:rPr>
        <w:softHyphen/>
        <w:t>проса, опыт ведения дел в правоохранительных органах и мно</w:t>
      </w:r>
      <w:r>
        <w:rPr>
          <w:rFonts w:ascii="Times New Roman" w:hAnsi="Times New Roman" w:cs="Times New Roman"/>
          <w:sz w:val="28"/>
          <w:szCs w:val="28"/>
        </w:rPr>
        <w:softHyphen/>
        <w:t>гое другое. Другими словами, чтобы обеспечить эффективную помощь, нужен специалист.  В наши дни перед адвокатурой официально поставлены задачи содействия охране прав и законных интересов всех физических и юридических лиц, осу</w:t>
      </w:r>
      <w:r>
        <w:rPr>
          <w:rFonts w:ascii="Times New Roman" w:hAnsi="Times New Roman" w:cs="Times New Roman"/>
          <w:sz w:val="28"/>
          <w:szCs w:val="28"/>
        </w:rPr>
        <w:softHyphen/>
        <w:t>ществлению правосудия, соблюдению и укреплению законнос</w:t>
      </w:r>
      <w:r>
        <w:rPr>
          <w:rFonts w:ascii="Times New Roman" w:hAnsi="Times New Roman" w:cs="Times New Roman"/>
          <w:sz w:val="28"/>
          <w:szCs w:val="28"/>
        </w:rPr>
        <w:softHyphen/>
        <w:t>ти, воспитанию граждан в духе точного и неуклонного исполне</w:t>
      </w:r>
      <w:r>
        <w:rPr>
          <w:rFonts w:ascii="Times New Roman" w:hAnsi="Times New Roman" w:cs="Times New Roman"/>
          <w:sz w:val="28"/>
          <w:szCs w:val="28"/>
        </w:rPr>
        <w:softHyphen/>
        <w:t>ния законов, уважения к правам, свободам, чести и достоинст</w:t>
      </w:r>
      <w:r>
        <w:rPr>
          <w:rFonts w:ascii="Times New Roman" w:hAnsi="Times New Roman" w:cs="Times New Roman"/>
          <w:sz w:val="28"/>
          <w:szCs w:val="28"/>
        </w:rPr>
        <w:softHyphen/>
        <w:t>ву других лиц. Под адвокатурой принято понимать организованное особым образом объединение юристов-профессионалов, главной фун</w:t>
      </w:r>
      <w:r>
        <w:rPr>
          <w:rFonts w:ascii="Times New Roman" w:hAnsi="Times New Roman" w:cs="Times New Roman"/>
          <w:sz w:val="28"/>
          <w:szCs w:val="28"/>
        </w:rPr>
        <w:softHyphen/>
        <w:t>кцией которого является оказание квалифицированной юриди</w:t>
      </w:r>
      <w:r>
        <w:rPr>
          <w:rFonts w:ascii="Times New Roman" w:hAnsi="Times New Roman" w:cs="Times New Roman"/>
          <w:sz w:val="28"/>
          <w:szCs w:val="28"/>
        </w:rPr>
        <w:softHyphen/>
        <w:t>ческой помощи всем, кто в ней нуждается.</w:t>
      </w:r>
    </w:p>
    <w:p w:rsidR="009C0A7F" w:rsidRDefault="009C0A7F">
      <w:pPr>
        <w:snapToGrid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организационной формой деятельности адвокатуры являются адвокатские объединения. </w:t>
      </w:r>
    </w:p>
    <w:p w:rsidR="009C0A7F" w:rsidRDefault="009C0A7F">
      <w:pPr>
        <w:shd w:val="clear" w:color="auto" w:fill="FFFFFF"/>
        <w:snapToGrid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Ведь сегодня мы имеем «адвокатов-профессионалов» и «адвокатов-предпринимателей суть деятельности которых коренным образом отличается. Неурегулированность этой проблемы в законодательном порядке вносит дезорганизацию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деятельность адвокатуры и искажает ее суть.</w:t>
      </w:r>
    </w:p>
    <w:p w:rsidR="009C0A7F" w:rsidRDefault="009C0A7F">
      <w:pPr>
        <w:shd w:val="clear" w:color="auto" w:fill="FFFFFF"/>
        <w:snapToGrid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правильного понимания правовой природы адвокатуры и ее деятельности, следует в законодательном порядке дать </w:t>
      </w:r>
      <w:r>
        <w:rPr>
          <w:rFonts w:ascii="Times New Roman" w:hAnsi="Times New Roman" w:cs="Times New Roman"/>
          <w:sz w:val="28"/>
          <w:szCs w:val="28"/>
          <w:lang w:val="uk-UA"/>
        </w:rPr>
        <w:t>определение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таких понятий: адвокатура, адвокат, адвокатская деятельность, право на адвокатскую деятельность, правовая помощь, </w:t>
      </w:r>
      <w:r>
        <w:rPr>
          <w:rFonts w:ascii="Times New Roman" w:hAnsi="Times New Roman" w:cs="Times New Roman"/>
          <w:sz w:val="28"/>
          <w:szCs w:val="28"/>
          <w:lang w:val="uk-UA"/>
        </w:rPr>
        <w:t>предоставление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правовой помощи, заработок адвоката (гонорар), индивидуальная адвокатская деятельность, адвокатское объединение, адвокатское бюро, контора, фирма, помощник адвоката, стажер и т.п.</w:t>
      </w:r>
    </w:p>
    <w:p w:rsidR="009C0A7F" w:rsidRDefault="009C0A7F" w:rsidP="009C0A7F">
      <w:pPr>
        <w:pStyle w:val="5"/>
        <w:ind w:firstLine="0"/>
        <w:rPr>
          <w:sz w:val="36"/>
          <w:szCs w:val="36"/>
        </w:rPr>
      </w:pPr>
      <w:r>
        <w:rPr>
          <w:sz w:val="36"/>
          <w:szCs w:val="36"/>
        </w:rPr>
        <w:t>Литература</w:t>
      </w:r>
    </w:p>
    <w:p w:rsidR="009C0A7F" w:rsidRDefault="009C0A7F">
      <w:pPr>
        <w:numPr>
          <w:ilvl w:val="0"/>
          <w:numId w:val="9"/>
        </w:numPr>
        <w:autoSpaceDE w:val="0"/>
        <w:autoSpaceDN w:val="0"/>
        <w:adjustRightInd w:val="0"/>
        <w:snapToGrid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Конституция Украин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от 28 июня 1996г. </w:t>
      </w:r>
    </w:p>
    <w:p w:rsidR="009C0A7F" w:rsidRDefault="009C0A7F">
      <w:pPr>
        <w:numPr>
          <w:ilvl w:val="0"/>
          <w:numId w:val="9"/>
        </w:numPr>
        <w:autoSpaceDE w:val="0"/>
        <w:autoSpaceDN w:val="0"/>
        <w:adjustRightInd w:val="0"/>
        <w:snapToGri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Украины «Об адвокатуре»  от 19 декабря 1992 г. N 2887-XII.</w:t>
      </w:r>
    </w:p>
    <w:p w:rsidR="009C0A7F" w:rsidRDefault="009C0A7F">
      <w:pPr>
        <w:numPr>
          <w:ilvl w:val="0"/>
          <w:numId w:val="9"/>
        </w:numPr>
        <w:autoSpaceDE w:val="0"/>
        <w:autoSpaceDN w:val="0"/>
        <w:adjustRightInd w:val="0"/>
        <w:snapToGri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от 27 апреля 1993 г. N 302 «О порядке регистрации адвокатских объединений».</w:t>
      </w:r>
    </w:p>
    <w:p w:rsidR="009C0A7F" w:rsidRDefault="009C0A7F">
      <w:pPr>
        <w:numPr>
          <w:ilvl w:val="0"/>
          <w:numId w:val="9"/>
        </w:numPr>
        <w:autoSpaceDE w:val="0"/>
        <w:autoSpaceDN w:val="0"/>
        <w:adjustRightInd w:val="0"/>
        <w:snapToGrid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Закон Украины «Об </w:t>
      </w:r>
      <w:r>
        <w:rPr>
          <w:rFonts w:ascii="Times New Roman" w:hAnsi="Times New Roman" w:cs="Times New Roman"/>
          <w:sz w:val="28"/>
          <w:szCs w:val="28"/>
          <w:lang w:val="uk-UA"/>
        </w:rPr>
        <w:t>объединении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граждан» </w:t>
      </w:r>
      <w:r>
        <w:rPr>
          <w:rFonts w:ascii="Times New Roman" w:hAnsi="Times New Roman" w:cs="Times New Roman"/>
          <w:sz w:val="28"/>
          <w:szCs w:val="28"/>
        </w:rPr>
        <w:t>от 18 июня 1992 года N 2460-XII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0A7F" w:rsidRDefault="009C0A7F">
      <w:pPr>
        <w:numPr>
          <w:ilvl w:val="0"/>
          <w:numId w:val="9"/>
        </w:numPr>
        <w:autoSpaceDE w:val="0"/>
        <w:autoSpaceDN w:val="0"/>
        <w:adjustRightInd w:val="0"/>
        <w:snapToGrid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Закон Украины «О банках и банковской деятельности» 19 декабря 1992 г. N 2887-XII.</w:t>
      </w:r>
    </w:p>
    <w:p w:rsidR="009C0A7F" w:rsidRDefault="009C0A7F">
      <w:pPr>
        <w:numPr>
          <w:ilvl w:val="0"/>
          <w:numId w:val="9"/>
        </w:numPr>
        <w:autoSpaceDE w:val="0"/>
        <w:autoSpaceDN w:val="0"/>
        <w:adjustRightInd w:val="0"/>
        <w:snapToGri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Об адвокатуре в СССР от 30 ноября 1979 г.</w:t>
      </w:r>
    </w:p>
    <w:p w:rsidR="009C0A7F" w:rsidRDefault="009C0A7F">
      <w:pPr>
        <w:numPr>
          <w:ilvl w:val="0"/>
          <w:numId w:val="9"/>
        </w:numPr>
        <w:autoSpaceDE w:val="0"/>
        <w:autoSpaceDN w:val="0"/>
        <w:adjustRightInd w:val="0"/>
        <w:snapToGri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законодательства Союза ССР и союзных республик о судоустройстве. 13 ноября 1989 г.</w:t>
      </w:r>
    </w:p>
    <w:p w:rsidR="009C0A7F" w:rsidRDefault="009C0A7F">
      <w:pPr>
        <w:numPr>
          <w:ilvl w:val="0"/>
          <w:numId w:val="9"/>
        </w:numPr>
        <w:autoSpaceDE w:val="0"/>
        <w:autoSpaceDN w:val="0"/>
        <w:adjustRightInd w:val="0"/>
        <w:snapToGri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Барщевский М. Адвокатская этика. - М., 2000г.</w:t>
      </w:r>
    </w:p>
    <w:p w:rsidR="009C0A7F" w:rsidRDefault="009C0A7F">
      <w:pPr>
        <w:numPr>
          <w:ilvl w:val="0"/>
          <w:numId w:val="9"/>
        </w:numPr>
        <w:autoSpaceDE w:val="0"/>
        <w:autoSpaceDN w:val="0"/>
        <w:adjustRightInd w:val="0"/>
        <w:snapToGrid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</w:rPr>
        <w:t>Гессен И.В. История Русской Адвокатуры. Т 1: Адвокатура, общество и государство (1864-1914).  Юристь., Москва., 1997.</w:t>
      </w:r>
    </w:p>
    <w:p w:rsidR="009C0A7F" w:rsidRDefault="009C0A7F">
      <w:pPr>
        <w:numPr>
          <w:ilvl w:val="0"/>
          <w:numId w:val="9"/>
        </w:numPr>
        <w:autoSpaceDE w:val="0"/>
        <w:autoSpaceDN w:val="0"/>
        <w:adjustRightInd w:val="0"/>
        <w:snapToGri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Уголовная защита бедных в Нью-Йорке в 1987 г., 400 с. Издание Нью-Йоркского университета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0A7F" w:rsidRDefault="009C0A7F">
      <w:pPr>
        <w:numPr>
          <w:ilvl w:val="0"/>
          <w:numId w:val="9"/>
        </w:numPr>
        <w:autoSpaceDE w:val="0"/>
        <w:autoSpaceDN w:val="0"/>
        <w:adjustRightInd w:val="0"/>
        <w:snapToGri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Хаски Ю. Российская адвоктура и советское государство. М, 1993.</w:t>
      </w:r>
    </w:p>
    <w:p w:rsidR="009C0A7F" w:rsidRDefault="009C0A7F">
      <w:pPr>
        <w:numPr>
          <w:ilvl w:val="0"/>
          <w:numId w:val="9"/>
        </w:numPr>
        <w:autoSpaceDE w:val="0"/>
        <w:autoSpaceDN w:val="0"/>
        <w:adjustRightInd w:val="0"/>
        <w:snapToGri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A7F" w:rsidRDefault="009C0A7F">
      <w:pPr>
        <w:numPr>
          <w:ilvl w:val="0"/>
          <w:numId w:val="9"/>
        </w:numPr>
        <w:autoSpaceDE w:val="0"/>
        <w:autoSpaceDN w:val="0"/>
        <w:adjustRightInd w:val="0"/>
        <w:snapToGrid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Кальний В. Проблеми реформування адвокатури україни. // </w:t>
      </w:r>
      <w:r>
        <w:rPr>
          <w:rFonts w:ascii="Times New Roman" w:hAnsi="Times New Roman" w:cs="Times New Roman"/>
          <w:sz w:val="28"/>
          <w:szCs w:val="28"/>
        </w:rPr>
        <w:t xml:space="preserve">Право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України. – 1997р. № 8. С. 42-45.</w:t>
      </w:r>
    </w:p>
    <w:p w:rsidR="009C0A7F" w:rsidRDefault="009C0A7F">
      <w:pPr>
        <w:numPr>
          <w:ilvl w:val="0"/>
          <w:numId w:val="9"/>
        </w:numPr>
        <w:autoSpaceDE w:val="0"/>
        <w:autoSpaceDN w:val="0"/>
        <w:adjustRightInd w:val="0"/>
        <w:snapToGrid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Князева Е.Г. Развитие Российской адвокатуры в дореволюционный период.// Известия ВУЗов. Северо-кавказский регион. – 2004. - №3.</w:t>
      </w:r>
    </w:p>
    <w:p w:rsidR="009C0A7F" w:rsidRDefault="009C0A7F">
      <w:pPr>
        <w:numPr>
          <w:ilvl w:val="0"/>
          <w:numId w:val="9"/>
        </w:numPr>
        <w:autoSpaceDE w:val="0"/>
        <w:autoSpaceDN w:val="0"/>
        <w:adjustRightInd w:val="0"/>
        <w:snapToGrid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Никифорова Н.П. О правомочности использования  в наименовании юридических лиц словосочетаний «адвокатская коллегия» и «юридическая консультация».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// Адвокатская практика. - 2002г.,- № 3., С. 5-6.</w:t>
      </w:r>
    </w:p>
    <w:p w:rsidR="009C0A7F" w:rsidRDefault="009C0A7F">
      <w:pPr>
        <w:numPr>
          <w:ilvl w:val="0"/>
          <w:numId w:val="9"/>
        </w:numPr>
        <w:autoSpaceDE w:val="0"/>
        <w:autoSpaceDN w:val="0"/>
        <w:adjustRightInd w:val="0"/>
        <w:snapToGri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Сергеев В.И. Проблемы становления российской адвокатуры в историческом контексте судебных реформ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веков. // Российский судья. – 2001.- № 11.</w:t>
      </w:r>
      <w:bookmarkStart w:id="0" w:name="_GoBack"/>
      <w:bookmarkEnd w:id="0"/>
    </w:p>
    <w:sectPr w:rsidR="009C0A7F">
      <w:footerReference w:type="default" r:id="rId7"/>
      <w:footnotePr>
        <w:numRestart w:val="eachPage"/>
      </w:footnotePr>
      <w:pgSz w:w="11906" w:h="16838"/>
      <w:pgMar w:top="899" w:right="746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113" w:rsidRDefault="003C4113">
      <w:r>
        <w:separator/>
      </w:r>
    </w:p>
  </w:endnote>
  <w:endnote w:type="continuationSeparator" w:id="0">
    <w:p w:rsidR="003C4113" w:rsidRDefault="003C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A7F" w:rsidRDefault="00CC72EA">
    <w:pPr>
      <w:pStyle w:val="af"/>
      <w:framePr w:wrap="auto" w:vAnchor="text" w:hAnchor="margin" w:xAlign="right" w:y="1"/>
      <w:rPr>
        <w:rStyle w:val="af1"/>
      </w:rPr>
    </w:pPr>
    <w:r>
      <w:rPr>
        <w:rStyle w:val="af1"/>
        <w:noProof/>
      </w:rPr>
      <w:t>2</w:t>
    </w:r>
  </w:p>
  <w:p w:rsidR="009C0A7F" w:rsidRDefault="009C0A7F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113" w:rsidRDefault="003C4113">
      <w:r>
        <w:separator/>
      </w:r>
    </w:p>
  </w:footnote>
  <w:footnote w:type="continuationSeparator" w:id="0">
    <w:p w:rsidR="003C4113" w:rsidRDefault="003C4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0058C"/>
    <w:multiLevelType w:val="multilevel"/>
    <w:tmpl w:val="F4A649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411077C"/>
    <w:multiLevelType w:val="multilevel"/>
    <w:tmpl w:val="824AB636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1CE23F5C"/>
    <w:multiLevelType w:val="multilevel"/>
    <w:tmpl w:val="C6229FB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5BC2C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7573BEF"/>
    <w:multiLevelType w:val="multilevel"/>
    <w:tmpl w:val="E50205E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C1F40DF"/>
    <w:multiLevelType w:val="hybridMultilevel"/>
    <w:tmpl w:val="ED38162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41E43C2"/>
    <w:multiLevelType w:val="hybridMultilevel"/>
    <w:tmpl w:val="3B0487C0"/>
    <w:lvl w:ilvl="0" w:tplc="7A860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23075C"/>
    <w:multiLevelType w:val="hybridMultilevel"/>
    <w:tmpl w:val="A1FA8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A7F"/>
    <w:rsid w:val="002503AD"/>
    <w:rsid w:val="003C4113"/>
    <w:rsid w:val="004400B2"/>
    <w:rsid w:val="009C0A7F"/>
    <w:rsid w:val="00CC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73AFE9-384C-4673-BE10-FBBA5FD7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napToGri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snapToGrid/>
      <w:spacing w:line="360" w:lineRule="auto"/>
      <w:jc w:val="center"/>
      <w:outlineLvl w:val="0"/>
    </w:pPr>
    <w:rPr>
      <w:rFonts w:ascii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adjustRightInd w:val="0"/>
      <w:snapToGrid/>
      <w:spacing w:line="360" w:lineRule="auto"/>
      <w:jc w:val="both"/>
      <w:outlineLvl w:val="1"/>
    </w:pPr>
    <w:rPr>
      <w:rFonts w:ascii="Times New Roman" w:hAnsi="Times New Roman" w:cs="Times New Roman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 w:val="0"/>
      <w:autoSpaceDN w:val="0"/>
      <w:adjustRightInd w:val="0"/>
      <w:snapToGrid/>
      <w:spacing w:line="360" w:lineRule="auto"/>
      <w:jc w:val="both"/>
      <w:outlineLvl w:val="2"/>
    </w:pPr>
    <w:rPr>
      <w:rFonts w:ascii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napToGrid/>
      <w:spacing w:line="360" w:lineRule="auto"/>
      <w:jc w:val="both"/>
      <w:outlineLvl w:val="3"/>
    </w:pPr>
    <w:rPr>
      <w:rFonts w:ascii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line="360" w:lineRule="auto"/>
      <w:ind w:firstLine="540"/>
      <w:jc w:val="both"/>
      <w:outlineLvl w:val="4"/>
    </w:pPr>
    <w:rPr>
      <w:rFonts w:ascii="Times New Roman" w:hAnsi="Times New Roman" w:cs="Times New Roman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pPr>
      <w:snapToGrid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Web">
    <w:name w:val="Обычный (Web)"/>
    <w:basedOn w:val="a"/>
    <w:uiPriority w:val="99"/>
    <w:pPr>
      <w:snapToGri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указатель 1"/>
    <w:basedOn w:val="a"/>
    <w:next w:val="a"/>
    <w:uiPriority w:val="99"/>
    <w:pPr>
      <w:tabs>
        <w:tab w:val="right" w:leader="dot" w:pos="3793"/>
      </w:tabs>
      <w:autoSpaceDE w:val="0"/>
      <w:autoSpaceDN w:val="0"/>
      <w:snapToGrid/>
      <w:ind w:left="200" w:hanging="200"/>
    </w:pPr>
    <w:rPr>
      <w:rFonts w:ascii="Times New Roman CYR" w:hAnsi="Times New Roman CYR" w:cs="Times New Roman CYR"/>
      <w:sz w:val="20"/>
      <w:szCs w:val="20"/>
    </w:rPr>
  </w:style>
  <w:style w:type="paragraph" w:customStyle="1" w:styleId="21">
    <w:name w:val="заголовок 2"/>
    <w:basedOn w:val="a"/>
    <w:next w:val="a"/>
    <w:uiPriority w:val="99"/>
    <w:pPr>
      <w:keepNext/>
      <w:autoSpaceDE w:val="0"/>
      <w:autoSpaceDN w:val="0"/>
      <w:snapToGrid/>
      <w:spacing w:before="240" w:after="60"/>
    </w:pPr>
    <w:rPr>
      <w:rFonts w:ascii="Arial CYR" w:hAnsi="Arial CYR" w:cs="Arial CYR"/>
      <w:b/>
      <w:bCs/>
      <w:i/>
      <w:iCs/>
      <w:sz w:val="20"/>
      <w:szCs w:val="20"/>
    </w:rPr>
  </w:style>
  <w:style w:type="paragraph" w:styleId="a5">
    <w:name w:val="Plain Text"/>
    <w:basedOn w:val="a"/>
    <w:link w:val="a6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uiPriority w:val="99"/>
    <w:semiHidden/>
    <w:rPr>
      <w:rFonts w:ascii="Courier New" w:hAnsi="Courier New" w:cs="Courier New"/>
      <w:sz w:val="20"/>
      <w:szCs w:val="20"/>
    </w:rPr>
  </w:style>
  <w:style w:type="character" w:styleId="a7">
    <w:name w:val="footnote reference"/>
    <w:uiPriority w:val="99"/>
    <w:semiHidden/>
    <w:rPr>
      <w:vertAlign w:val="superscript"/>
    </w:rPr>
  </w:style>
  <w:style w:type="paragraph" w:styleId="a8">
    <w:name w:val="footnote text"/>
    <w:basedOn w:val="a"/>
    <w:link w:val="a9"/>
    <w:uiPriority w:val="99"/>
    <w:semiHidden/>
    <w:pPr>
      <w:snapToGrid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paragraph" w:styleId="aa">
    <w:name w:val="Body Text"/>
    <w:basedOn w:val="a"/>
    <w:link w:val="ab"/>
    <w:uiPriority w:val="99"/>
    <w:pPr>
      <w:autoSpaceDE w:val="0"/>
      <w:autoSpaceDN w:val="0"/>
      <w:adjustRightInd w:val="0"/>
      <w:snapToGri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rPr>
      <w:sz w:val="24"/>
      <w:szCs w:val="24"/>
    </w:rPr>
  </w:style>
  <w:style w:type="paragraph" w:styleId="22">
    <w:name w:val="Body Text 2"/>
    <w:basedOn w:val="a"/>
    <w:link w:val="23"/>
    <w:uiPriority w:val="99"/>
    <w:pPr>
      <w:snapToGrid/>
      <w:spacing w:line="360" w:lineRule="auto"/>
      <w:ind w:firstLine="540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23">
    <w:name w:val="Основной текст 2 Знак"/>
    <w:link w:val="22"/>
    <w:uiPriority w:val="99"/>
    <w:semiHidden/>
    <w:rPr>
      <w:rFonts w:ascii="Arial" w:hAnsi="Arial" w:cs="Arial"/>
      <w:sz w:val="26"/>
      <w:szCs w:val="26"/>
    </w:rPr>
  </w:style>
  <w:style w:type="character" w:styleId="ac">
    <w:name w:val="endnote reference"/>
    <w:uiPriority w:val="99"/>
    <w:semiHidden/>
    <w:rPr>
      <w:vertAlign w:val="superscript"/>
    </w:rPr>
  </w:style>
  <w:style w:type="paragraph" w:styleId="ad">
    <w:name w:val="endnote text"/>
    <w:basedOn w:val="a"/>
    <w:link w:val="ae"/>
    <w:uiPriority w:val="99"/>
    <w:semiHidden/>
    <w:pPr>
      <w:snapToGrid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link w:val="ad"/>
    <w:uiPriority w:val="99"/>
    <w:semiHidden/>
    <w:rPr>
      <w:rFonts w:ascii="Arial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pPr>
      <w:widowControl w:val="0"/>
      <w:autoSpaceDE w:val="0"/>
      <w:autoSpaceDN w:val="0"/>
      <w:adjustRightInd w:val="0"/>
      <w:snapToGrid/>
    </w:pPr>
    <w:rPr>
      <w:rFonts w:ascii="Times New Roman" w:hAnsi="Times New Roman" w:cs="Times New Roman"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rPr>
      <w:rFonts w:ascii="Arial" w:hAnsi="Arial" w:cs="Arial"/>
      <w:sz w:val="16"/>
      <w:szCs w:val="16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  <w:snapToGrid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link w:val="af"/>
    <w:uiPriority w:val="99"/>
    <w:semiHidden/>
    <w:rPr>
      <w:rFonts w:ascii="Arial" w:hAnsi="Arial" w:cs="Arial"/>
      <w:sz w:val="26"/>
      <w:szCs w:val="26"/>
    </w:rPr>
  </w:style>
  <w:style w:type="character" w:styleId="af1">
    <w:name w:val="page number"/>
    <w:uiPriority w:val="99"/>
  </w:style>
  <w:style w:type="paragraph" w:styleId="af2">
    <w:name w:val="Subtitle"/>
    <w:basedOn w:val="a"/>
    <w:link w:val="af3"/>
    <w:uiPriority w:val="99"/>
    <w:qFormat/>
    <w:pPr>
      <w:snapToGri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3">
    <w:name w:val="Подзаголовок Знак"/>
    <w:link w:val="af2"/>
    <w:uiPriority w:val="11"/>
    <w:rPr>
      <w:rFonts w:ascii="Cambria" w:eastAsia="Times New Roman" w:hAnsi="Cambria" w:cs="Times New Roman"/>
      <w:sz w:val="24"/>
      <w:szCs w:val="24"/>
    </w:rPr>
  </w:style>
  <w:style w:type="character" w:styleId="af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RoverBook</Company>
  <LinksUpToDate>false</LinksUpToDate>
  <CharactersWithSpaces>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Partner E415</dc:creator>
  <cp:keywords/>
  <dc:description/>
  <cp:lastModifiedBy>admin</cp:lastModifiedBy>
  <cp:revision>2</cp:revision>
  <dcterms:created xsi:type="dcterms:W3CDTF">2014-02-17T15:57:00Z</dcterms:created>
  <dcterms:modified xsi:type="dcterms:W3CDTF">2014-02-17T15:57:00Z</dcterms:modified>
</cp:coreProperties>
</file>