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pct"/>
        <w:tblCellSpacing w:w="0" w:type="dxa"/>
        <w:tblInd w:w="-28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"/>
        <w:gridCol w:w="9306"/>
      </w:tblGrid>
      <w:tr w:rsidR="00247F4A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247F4A" w:rsidRDefault="00247F4A">
            <w:pPr>
              <w:spacing w:before="100" w:beforeAutospacing="1" w:after="100" w:afterAutospacing="1"/>
              <w:ind w:left="60" w:right="60"/>
              <w:rPr>
                <w:b/>
                <w:bCs/>
                <w:color w:val="4A5276"/>
                <w:sz w:val="20"/>
              </w:rPr>
            </w:pPr>
          </w:p>
          <w:p w:rsidR="00247F4A" w:rsidRDefault="00247F4A">
            <w:pPr>
              <w:spacing w:before="100" w:beforeAutospacing="1" w:after="100" w:afterAutospacing="1"/>
              <w:ind w:left="60" w:right="60"/>
              <w:rPr>
                <w:b/>
                <w:bCs/>
                <w:color w:val="4A5276"/>
                <w:sz w:val="20"/>
              </w:rPr>
            </w:pPr>
            <w:r>
              <w:rPr>
                <w:b/>
                <w:bCs/>
                <w:color w:val="4A5276"/>
                <w:sz w:val="20"/>
              </w:rPr>
              <w:t>Организация перевозок товаров железнодорожным транспортом, специфика обеспечения уплаты таможенных платежей при осуществлении этих перевозок.</w:t>
            </w:r>
          </w:p>
        </w:tc>
      </w:tr>
      <w:tr w:rsidR="00247F4A">
        <w:trPr>
          <w:tblCellSpacing w:w="0" w:type="dxa"/>
        </w:trPr>
        <w:tc>
          <w:tcPr>
            <w:tcW w:w="232" w:type="pct"/>
          </w:tcPr>
          <w:p w:rsidR="00247F4A" w:rsidRDefault="00247F4A">
            <w:pPr>
              <w:jc w:val="center"/>
              <w:rPr>
                <w:color w:val="343751"/>
                <w:sz w:val="20"/>
              </w:rPr>
            </w:pPr>
          </w:p>
        </w:tc>
        <w:tc>
          <w:tcPr>
            <w:tcW w:w="4768" w:type="pct"/>
          </w:tcPr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При перевозках товаров под таможенным контролем железнодорожным транспортом к железнодорожной накладной должны быть приложены сопроводительные документы, необходимые для выполнения таможенных правил па всем пути следования груза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Таможенные органы отправления требуют представления в обязательном порядке транспортных или товаросопроводительных документов, позволяющих идентифицировать перевозимые товары для целей таможенного контроля.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В случае непредставления необходимых документов таможенные органы отправления в отдельных случаях вправе задерживать перевозочные средства на пограничных железнодорожных станциях или возвращать их за пределы таможенной территории РФ.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Основным товарно-транспортным документом, оформляемым при поставке груза железнодорожным транспортом, является международная либо внутрироссийская железнодорожная накладная.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Железнодорожная накладная содержит следующие сведения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наименование и адрес грузополучателя и грузоотправителя; реквизиты перевозчика,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место и дату погрузки и разгрузки груза,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наименование груда, число мест, вид упаковки, маркировку, объем, общий вес,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прилагаемые документы,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условия поставки,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стоимость груза,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дату и место оформления накладной.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При доставке товаров железнодорожным транспортом, за исключением случаев, определяемых ГТК. РФ, обеспечение уплаты таможенных пошлин и налогов не требуется.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ДКД может заполняться на состав транспортных средств независимо от количества накладных при условии, что весь состав следует в адрес одного получателя.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Железнодорожная станция отправления в обязательном порядке проставляет документе контроля за доставкой товара (ДКД) или транзитной декларации (ТР) штамп станции, заверенный подписью ответственного работника станции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В железнодорожной накладной инспектор таможни делает запись: "ПРИЛАГАЕТСЯ ДКД/ТР ╧ __" которая заверяется оттиском его личной печати.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Местами доставки товаров, перевозимых железнодорожным транспортом, являются станции назначения.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При вывозе товаров, следующих железнодорожным транспортом, железнодорожной станцией назначения считается пограничная железнодорожная станция при выезде с территории РФ.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При транзите товаров, следующих железнодорожным транспортом, железнодорожной станцией отправления считается пограничная железнодорожная станция при въезде товаров на территорию РФ, железнодорожной станцией назначения -пограничная железнодорожная станция при выезде товаров с территории РФ.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Прибывшие на станцию назначения грузы размещаются на складах временного хранения или подаются на подъездные пути предприятий, имеющих склады временного хранения.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По прибытии груза на станцию назначения работники станции обязаны уведомить об этом таможенный орган назначения и грузополучателя.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Таможенное оформление товаров, доставленных до станции назначения, производится с помещением их на склады временного хранения или без фактического помещения (например, с размещением на подъездных путях предприятий), при соблюдении условий, предусмотренных совместными документами ГТК РФ и МПС РФ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 xml:space="preserve">Форма уведомления таможенного органа и порядок представления ему документов на груз разрабатывается и принимается совместно станцией и таможенным органом с учетом Положения о временном хранении (складах временного хранения), а также Правил перевозок грузов. </w:t>
            </w:r>
          </w:p>
          <w:p w:rsidR="00247F4A" w:rsidRDefault="00247F4A">
            <w:pPr>
              <w:rPr>
                <w:color w:val="343751"/>
                <w:sz w:val="20"/>
              </w:rPr>
            </w:pPr>
            <w:r>
              <w:rPr>
                <w:color w:val="343751"/>
                <w:sz w:val="20"/>
              </w:rPr>
              <w:t>Грузополучатель после получения уведомления станции должен представить в таможенный орган документы и сведения, необходимые для таможенного оформления и контроля.</w:t>
            </w:r>
          </w:p>
        </w:tc>
      </w:tr>
    </w:tbl>
    <w:p w:rsidR="00247F4A" w:rsidRDefault="00247F4A">
      <w:bookmarkStart w:id="0" w:name="_GoBack"/>
      <w:bookmarkEnd w:id="0"/>
    </w:p>
    <w:sectPr w:rsidR="0024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F4A"/>
    <w:rsid w:val="00145967"/>
    <w:rsid w:val="00170F16"/>
    <w:rsid w:val="002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DFFE7-C037-4D21-8E0A-70393F8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E26E0F"/>
      <w:u w:val="none"/>
      <w:effect w:val="none"/>
    </w:rPr>
  </w:style>
  <w:style w:type="paragraph" w:styleId="a4">
    <w:name w:val="Normal (Web)"/>
    <w:basedOn w:val="a"/>
    <w:pPr>
      <w:spacing w:before="100" w:beforeAutospacing="1" w:after="100" w:afterAutospacing="1"/>
      <w:ind w:left="60" w:right="60"/>
    </w:pPr>
    <w:rPr>
      <w:color w:val="3437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перевозок товаров железнодорожным транспортом, специфика обеспечения уплаты таможенных платежей при осуществлении </vt:lpstr>
    </vt:vector>
  </TitlesOfParts>
  <Company>ICAFE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перевозок товаров железнодорожным транспортом, специфика обеспечения уплаты таможенных платежей при осуществлении </dc:title>
  <dc:subject/>
  <dc:creator>adm</dc:creator>
  <cp:keywords/>
  <dc:description/>
  <cp:lastModifiedBy>Irina</cp:lastModifiedBy>
  <cp:revision>2</cp:revision>
  <dcterms:created xsi:type="dcterms:W3CDTF">2014-08-13T11:00:00Z</dcterms:created>
  <dcterms:modified xsi:type="dcterms:W3CDTF">2014-08-13T11:00:00Z</dcterms:modified>
</cp:coreProperties>
</file>