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379" w:rsidRDefault="005011C9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Введение</w:t>
      </w:r>
    </w:p>
    <w:p w:rsidR="005011C9" w:rsidRPr="005011C9" w:rsidRDefault="005011C9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</w:rPr>
      </w:pPr>
    </w:p>
    <w:p w:rsidR="00DF292E" w:rsidRPr="005011C9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Совершенствование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организации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бизнеса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условиях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рыночных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преобразований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стало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одним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из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приоритетных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направлений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социально-экономического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развития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России.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Актуальность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проблемы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обусловлена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="007D4CD7">
        <w:rPr>
          <w:rFonts w:ascii="Times New Roman" w:hAnsi="Times New Roman"/>
          <w:sz w:val="28"/>
          <w:szCs w:val="24"/>
          <w:lang w:val="ru"/>
        </w:rPr>
        <w:t xml:space="preserve">тем, </w:t>
      </w:r>
      <w:r w:rsidRPr="005011C9">
        <w:rPr>
          <w:rFonts w:ascii="Times New Roman" w:hAnsi="Times New Roman"/>
          <w:sz w:val="28"/>
          <w:szCs w:val="24"/>
          <w:lang w:val="ru"/>
        </w:rPr>
        <w:t>что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сберегательное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дело,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являясь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традиционной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сферой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банковского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предпринимательства,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направлено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только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увеличение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доходов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банковской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сферы,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удовлетворение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потребностей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частных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корпоративных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клиентов,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связанных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развитием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национальной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экономики.</w:t>
      </w:r>
    </w:p>
    <w:p w:rsidR="00DF292E" w:rsidRPr="005011C9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Эти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потребности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</w:t>
      </w:r>
      <w:r w:rsidR="007D4CD7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мере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интеграции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России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всемирное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хозяйство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фоне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глобализации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международных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финансовых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валютно-кредитных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отношений,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повышения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объектов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продажи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банковских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услуг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становятся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все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шире,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охватывают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все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новые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страны.</w:t>
      </w:r>
    </w:p>
    <w:p w:rsidR="00DF292E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этой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связи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особое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значение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приобретает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изучение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опыта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организации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бизнеса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наиболее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развитых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зарубежных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странах,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тем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чтобы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использовать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его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для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решения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ряда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первоочередных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задач,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стоящих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перед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российской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системой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банков.</w:t>
      </w:r>
    </w:p>
    <w:p w:rsidR="005011C9" w:rsidRPr="005011C9" w:rsidRDefault="005011C9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</w:p>
    <w:p w:rsidR="00DF292E" w:rsidRPr="005011C9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br w:type="page"/>
      </w:r>
    </w:p>
    <w:p w:rsidR="00DF292E" w:rsidRPr="005011C9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  <w:lang w:val="ru"/>
        </w:rPr>
      </w:pPr>
      <w:r w:rsidRPr="005011C9">
        <w:rPr>
          <w:rFonts w:ascii="Times New Roman" w:hAnsi="Times New Roman"/>
          <w:b/>
          <w:sz w:val="28"/>
          <w:szCs w:val="24"/>
          <w:lang w:val="ru"/>
        </w:rPr>
        <w:t>1</w:t>
      </w:r>
      <w:r w:rsidR="005011C9">
        <w:rPr>
          <w:rFonts w:ascii="Times New Roman" w:hAnsi="Times New Roman"/>
          <w:b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b/>
          <w:sz w:val="28"/>
          <w:szCs w:val="24"/>
          <w:lang w:val="ru"/>
        </w:rPr>
        <w:t>Сберегательный</w:t>
      </w:r>
      <w:r w:rsidR="005011C9">
        <w:rPr>
          <w:rFonts w:ascii="Times New Roman" w:hAnsi="Times New Roman"/>
          <w:b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b/>
          <w:sz w:val="28"/>
          <w:szCs w:val="24"/>
          <w:lang w:val="ru"/>
        </w:rPr>
        <w:t>бизнес:</w:t>
      </w:r>
      <w:r w:rsidR="005011C9">
        <w:rPr>
          <w:rFonts w:ascii="Times New Roman" w:hAnsi="Times New Roman"/>
          <w:b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b/>
          <w:sz w:val="28"/>
          <w:szCs w:val="24"/>
          <w:lang w:val="ru"/>
        </w:rPr>
        <w:t>история</w:t>
      </w:r>
      <w:r w:rsidR="005011C9">
        <w:rPr>
          <w:rFonts w:ascii="Times New Roman" w:hAnsi="Times New Roman"/>
          <w:b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b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b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b/>
          <w:sz w:val="28"/>
          <w:szCs w:val="24"/>
          <w:lang w:val="ru"/>
        </w:rPr>
        <w:t>зарубежная</w:t>
      </w:r>
      <w:r w:rsidR="005011C9">
        <w:rPr>
          <w:rFonts w:ascii="Times New Roman" w:hAnsi="Times New Roman"/>
          <w:b/>
          <w:sz w:val="28"/>
          <w:szCs w:val="24"/>
          <w:lang w:val="ru"/>
        </w:rPr>
        <w:t xml:space="preserve"> практика</w:t>
      </w:r>
    </w:p>
    <w:p w:rsidR="005011C9" w:rsidRDefault="005011C9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</w:p>
    <w:p w:rsidR="00DF292E" w:rsidRPr="005011C9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Исторически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сложилось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так,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что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основным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источником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средств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институтов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зарубежных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стран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были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сохраняются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депозиты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частных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лиц.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счета,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хотя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предлагают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сравнительно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скромный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доход,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обладают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чертами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ликвидности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безопасности,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столь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важными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для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владельцев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относительно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ограниченных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средств,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т.е.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массовой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категории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клиентов.</w:t>
      </w:r>
    </w:p>
    <w:p w:rsidR="00DF292E" w:rsidRPr="005011C9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Сберегательные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счета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клиентов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являются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стабильными.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Объем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структура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таких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вкладов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часто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меняются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под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воздействием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экономической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активности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кредитной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политики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государства.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Поэтому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институты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США.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Германии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7D4CD7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некоторых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других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стран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предлагают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депозитные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вклады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денежного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рынка,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доходы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которым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более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чувствительны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изменению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краткосрочных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процентных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ставок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денежного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рынка,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имеют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номинации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другие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характеристики,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отражающие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условия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местного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рынка.</w:t>
      </w:r>
    </w:p>
    <w:p w:rsidR="00DF292E" w:rsidRPr="005011C9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Вторым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значимости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источником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финансовых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средств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учреждений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является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собственный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капитал,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состоящий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из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нераспределенной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прибыли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номинальной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стоимости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выпушенных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Сбербанком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акций.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Ноксередине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1980-х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гг.,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ряду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объективных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субъективных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причин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собственный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капитал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институтов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стал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быстро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сокращаться,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тогда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правительства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некоторых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стран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стали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принимать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социальные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законы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(Закон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="007D4CD7">
        <w:rPr>
          <w:rFonts w:ascii="Times New Roman" w:hAnsi="Times New Roman"/>
          <w:sz w:val="28"/>
          <w:szCs w:val="24"/>
          <w:lang w:val="ru"/>
        </w:rPr>
        <w:t>Гарна-Сент-Же</w:t>
      </w:r>
      <w:r w:rsidRPr="005011C9">
        <w:rPr>
          <w:rFonts w:ascii="Times New Roman" w:hAnsi="Times New Roman"/>
          <w:sz w:val="28"/>
          <w:szCs w:val="24"/>
          <w:lang w:val="ru"/>
        </w:rPr>
        <w:t>рмсна).</w:t>
      </w:r>
      <w:r w:rsidR="007D4CD7">
        <w:rPr>
          <w:rFonts w:ascii="Times New Roman" w:hAnsi="Times New Roman"/>
          <w:sz w:val="28"/>
          <w:szCs w:val="24"/>
          <w:lang w:val="ru"/>
        </w:rPr>
        <w:t xml:space="preserve"> </w:t>
      </w:r>
      <w:r w:rsidR="007D4CD7" w:rsidRPr="005011C9">
        <w:rPr>
          <w:rFonts w:ascii="Times New Roman" w:hAnsi="Times New Roman"/>
          <w:sz w:val="28"/>
          <w:szCs w:val="24"/>
          <w:lang w:val="ru"/>
        </w:rPr>
        <w:t>Разрешающие</w:t>
      </w:r>
      <w:r w:rsidR="007D4CD7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сберегательным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банкам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случае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необходимости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выпускать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сертификаты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собственного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капитала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обеспеченных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Федеральной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корпорацией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страхования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ссудно-сб</w:t>
      </w:r>
      <w:r w:rsidR="008A0B0D" w:rsidRPr="005011C9">
        <w:rPr>
          <w:rFonts w:ascii="Times New Roman" w:hAnsi="Times New Roman"/>
          <w:sz w:val="28"/>
          <w:szCs w:val="24"/>
          <w:lang w:val="ru"/>
        </w:rPr>
        <w:t>е</w:t>
      </w:r>
      <w:r w:rsidRPr="005011C9">
        <w:rPr>
          <w:rFonts w:ascii="Times New Roman" w:hAnsi="Times New Roman"/>
          <w:sz w:val="28"/>
          <w:szCs w:val="24"/>
          <w:lang w:val="ru"/>
        </w:rPr>
        <w:t>р</w:t>
      </w:r>
      <w:r w:rsidR="008A0B0D" w:rsidRPr="005011C9">
        <w:rPr>
          <w:rFonts w:ascii="Times New Roman" w:hAnsi="Times New Roman"/>
          <w:sz w:val="28"/>
          <w:szCs w:val="24"/>
          <w:lang w:val="ru"/>
        </w:rPr>
        <w:t>е</w:t>
      </w:r>
      <w:r w:rsidRPr="005011C9">
        <w:rPr>
          <w:rFonts w:ascii="Times New Roman" w:hAnsi="Times New Roman"/>
          <w:sz w:val="28"/>
          <w:szCs w:val="24"/>
          <w:lang w:val="ru"/>
        </w:rPr>
        <w:t>гательных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ассоциаций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</w:rPr>
        <w:t>(</w:t>
      </w:r>
      <w:r w:rsidRPr="005011C9">
        <w:rPr>
          <w:rFonts w:ascii="Times New Roman" w:hAnsi="Times New Roman"/>
          <w:sz w:val="28"/>
          <w:szCs w:val="24"/>
          <w:lang w:val="en-US"/>
        </w:rPr>
        <w:t>ESLIC</w:t>
      </w:r>
      <w:r w:rsidRPr="005011C9">
        <w:rPr>
          <w:rFonts w:ascii="Times New Roman" w:hAnsi="Times New Roman"/>
          <w:sz w:val="28"/>
          <w:szCs w:val="24"/>
        </w:rPr>
        <w:t>).</w:t>
      </w:r>
      <w:r w:rsidR="005011C9">
        <w:rPr>
          <w:rFonts w:ascii="Times New Roman" w:hAnsi="Times New Roman"/>
          <w:sz w:val="28"/>
          <w:szCs w:val="24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Кроме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того,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этот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закон,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отменив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старые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ограничения,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разрешил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пролонгирование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ссуд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под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ж</w:t>
      </w:r>
      <w:r w:rsidR="008A0B0D" w:rsidRPr="005011C9">
        <w:rPr>
          <w:rFonts w:ascii="Times New Roman" w:hAnsi="Times New Roman"/>
          <w:sz w:val="28"/>
          <w:szCs w:val="24"/>
          <w:lang w:val="ru"/>
        </w:rPr>
        <w:t>и</w:t>
      </w:r>
      <w:r w:rsidRPr="005011C9">
        <w:rPr>
          <w:rFonts w:ascii="Times New Roman" w:hAnsi="Times New Roman"/>
          <w:sz w:val="28"/>
          <w:szCs w:val="24"/>
          <w:lang w:val="ru"/>
        </w:rPr>
        <w:t>ли</w:t>
      </w:r>
      <w:r w:rsidR="008A0B0D" w:rsidRPr="005011C9">
        <w:rPr>
          <w:rFonts w:ascii="Times New Roman" w:hAnsi="Times New Roman"/>
          <w:sz w:val="28"/>
          <w:szCs w:val="24"/>
          <w:lang w:val="ru"/>
        </w:rPr>
        <w:t>щн</w:t>
      </w:r>
      <w:r w:rsidRPr="005011C9">
        <w:rPr>
          <w:rFonts w:ascii="Times New Roman" w:hAnsi="Times New Roman"/>
          <w:sz w:val="28"/>
          <w:szCs w:val="24"/>
          <w:lang w:val="ru"/>
        </w:rPr>
        <w:t>о</w:t>
      </w:r>
      <w:r w:rsidR="008A0B0D" w:rsidRPr="005011C9">
        <w:rPr>
          <w:rFonts w:ascii="Times New Roman" w:hAnsi="Times New Roman"/>
          <w:sz w:val="28"/>
          <w:szCs w:val="24"/>
          <w:lang w:val="ru"/>
        </w:rPr>
        <w:t>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строительство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путем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замены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старых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закладных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низкими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процентными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ставками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новые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боле</w:t>
      </w:r>
      <w:r w:rsidR="008A0B0D" w:rsidRPr="005011C9">
        <w:rPr>
          <w:rFonts w:ascii="Times New Roman" w:hAnsi="Times New Roman"/>
          <w:sz w:val="28"/>
          <w:szCs w:val="24"/>
          <w:lang w:val="ru"/>
        </w:rPr>
        <w:t>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высокими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процентами.</w:t>
      </w:r>
    </w:p>
    <w:p w:rsidR="00DF292E" w:rsidRPr="005011C9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отличие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ссуд</w:t>
      </w:r>
      <w:r w:rsidR="008A0B0D" w:rsidRPr="005011C9">
        <w:rPr>
          <w:rFonts w:ascii="Times New Roman" w:hAnsi="Times New Roman"/>
          <w:sz w:val="28"/>
          <w:szCs w:val="24"/>
          <w:lang w:val="ru"/>
        </w:rPr>
        <w:t>н</w:t>
      </w:r>
      <w:r w:rsidRPr="005011C9">
        <w:rPr>
          <w:rFonts w:ascii="Times New Roman" w:hAnsi="Times New Roman"/>
          <w:sz w:val="28"/>
          <w:szCs w:val="24"/>
          <w:lang w:val="ru"/>
        </w:rPr>
        <w:t>о-сб</w:t>
      </w:r>
      <w:r w:rsidR="008A0B0D" w:rsidRPr="005011C9">
        <w:rPr>
          <w:rFonts w:ascii="Times New Roman" w:hAnsi="Times New Roman"/>
          <w:sz w:val="28"/>
          <w:szCs w:val="24"/>
          <w:lang w:val="ru"/>
        </w:rPr>
        <w:t>е</w:t>
      </w:r>
      <w:r w:rsidRPr="005011C9">
        <w:rPr>
          <w:rFonts w:ascii="Times New Roman" w:hAnsi="Times New Roman"/>
          <w:sz w:val="28"/>
          <w:szCs w:val="24"/>
          <w:lang w:val="ru"/>
        </w:rPr>
        <w:t>р</w:t>
      </w:r>
      <w:r w:rsidR="008A0B0D" w:rsidRPr="005011C9">
        <w:rPr>
          <w:rFonts w:ascii="Times New Roman" w:hAnsi="Times New Roman"/>
          <w:sz w:val="28"/>
          <w:szCs w:val="24"/>
          <w:lang w:val="ru"/>
        </w:rPr>
        <w:t>е</w:t>
      </w:r>
      <w:r w:rsidRPr="005011C9">
        <w:rPr>
          <w:rFonts w:ascii="Times New Roman" w:hAnsi="Times New Roman"/>
          <w:sz w:val="28"/>
          <w:szCs w:val="24"/>
          <w:lang w:val="ru"/>
        </w:rPr>
        <w:t>гат</w:t>
      </w:r>
      <w:r w:rsidR="008A0B0D" w:rsidRPr="005011C9">
        <w:rPr>
          <w:rFonts w:ascii="Times New Roman" w:hAnsi="Times New Roman"/>
          <w:sz w:val="28"/>
          <w:szCs w:val="24"/>
          <w:lang w:val="ru"/>
        </w:rPr>
        <w:t>е</w:t>
      </w:r>
      <w:r w:rsidRPr="005011C9">
        <w:rPr>
          <w:rFonts w:ascii="Times New Roman" w:hAnsi="Times New Roman"/>
          <w:sz w:val="28"/>
          <w:szCs w:val="24"/>
          <w:lang w:val="ru"/>
        </w:rPr>
        <w:t>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ассоциаций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(в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США)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сохраняют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счета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собственного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капитала,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именуемые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резервными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счетами,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которые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начисляются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доходы,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выплачиваемые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виде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дивидендов.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годы,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сводимые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прибылью,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эти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счета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пополняются,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защищая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собственные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возможных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потерь.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Основная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функция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резервных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счетов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—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поддержать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</w:t>
      </w:r>
      <w:r w:rsidR="008A0B0D" w:rsidRPr="005011C9">
        <w:rPr>
          <w:rFonts w:ascii="Times New Roman" w:hAnsi="Times New Roman"/>
          <w:sz w:val="28"/>
          <w:szCs w:val="24"/>
          <w:lang w:val="ru"/>
        </w:rPr>
        <w:t>е</w:t>
      </w:r>
      <w:r w:rsidRPr="005011C9">
        <w:rPr>
          <w:rFonts w:ascii="Times New Roman" w:hAnsi="Times New Roman"/>
          <w:sz w:val="28"/>
          <w:szCs w:val="24"/>
          <w:lang w:val="ru"/>
        </w:rPr>
        <w:t>рбан</w:t>
      </w:r>
      <w:r w:rsidR="008A0B0D" w:rsidRPr="005011C9">
        <w:rPr>
          <w:rFonts w:ascii="Times New Roman" w:hAnsi="Times New Roman"/>
          <w:sz w:val="28"/>
          <w:szCs w:val="24"/>
          <w:lang w:val="ru"/>
        </w:rPr>
        <w:t>ки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даже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фоне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потер</w:t>
      </w:r>
      <w:r w:rsidR="008A0B0D"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доходов.</w:t>
      </w:r>
    </w:p>
    <w:p w:rsidR="00DF292E" w:rsidRPr="005011C9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условиях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растущей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конкуренции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стараются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быть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универсальными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финансовыми</w:t>
      </w:r>
      <w:r w:rsidR="007D4CD7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институтами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тем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самым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расширить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сферу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оказываемых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услуг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счет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увеличения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структуре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пассивов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чековых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счетов,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расширения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услуг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кредитными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карточками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для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перевода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средств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счетов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текущие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счета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клиентов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т.д.</w:t>
      </w:r>
    </w:p>
    <w:p w:rsidR="00DF292E" w:rsidRPr="005011C9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Важным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источником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финансовых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средств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США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остаются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счета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платежным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приказом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—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приносящий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проценты,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позволяющие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выписывать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платежные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приказы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(чеки),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используя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средства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данного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счета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клиента.</w:t>
      </w:r>
    </w:p>
    <w:p w:rsidR="00DF292E" w:rsidRPr="005011C9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Германии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кассы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земельные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банки-централи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представляют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собой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достаточно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стройную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систему,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финансовые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средства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которой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формируются,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прежде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всего,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счет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учредителей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—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органов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самоуправления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федеральных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земель.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Поэтому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кассы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наряду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другими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юридическими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лицами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выступают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учредителями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земельных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банков-централей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существу,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становятся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государственными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кредитными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учреждениями.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Тем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менее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соответствии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принятой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типизацией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="007D4CD7">
        <w:rPr>
          <w:rFonts w:ascii="Times New Roman" w:hAnsi="Times New Roman"/>
          <w:sz w:val="28"/>
          <w:szCs w:val="24"/>
          <w:lang w:val="ru"/>
        </w:rPr>
        <w:t>все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кредитные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организации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этой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стране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делятся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отдельные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группы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типичным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признакам:</w:t>
      </w:r>
    </w:p>
    <w:p w:rsidR="008A0B0D" w:rsidRPr="005011C9" w:rsidRDefault="008A0B0D" w:rsidP="005011C9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сберегательные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институты,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создаваемые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управляемые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соответствующими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органами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власти;</w:t>
      </w:r>
    </w:p>
    <w:p w:rsidR="008A0B0D" w:rsidRPr="005011C9" w:rsidRDefault="008A0B0D" w:rsidP="005011C9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кредитные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институты,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создаваемые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основе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специальных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законов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выполняющие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="007D4CD7">
        <w:rPr>
          <w:rFonts w:ascii="Times New Roman" w:hAnsi="Times New Roman"/>
          <w:sz w:val="28"/>
          <w:szCs w:val="24"/>
          <w:lang w:val="ru"/>
        </w:rPr>
        <w:t>осо</w:t>
      </w:r>
      <w:r w:rsidRPr="005011C9">
        <w:rPr>
          <w:rFonts w:ascii="Times New Roman" w:hAnsi="Times New Roman"/>
          <w:sz w:val="28"/>
          <w:szCs w:val="24"/>
          <w:lang w:val="ru"/>
        </w:rPr>
        <w:t>бые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задачи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(сельскохозяйственный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рентный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немецкий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выравнивания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др.);</w:t>
      </w:r>
    </w:p>
    <w:p w:rsidR="008A0B0D" w:rsidRPr="005011C9" w:rsidRDefault="008A0B0D" w:rsidP="005011C9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публично-правовые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ипотечные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банки.</w:t>
      </w:r>
    </w:p>
    <w:p w:rsidR="00DF292E" w:rsidRPr="005011C9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К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особой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группе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относится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Центральный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(ДойчеБундссбанк)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Германии,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ней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могут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быть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причислены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частноправовые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кредитные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организация,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деятельности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которых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государство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может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бытьлибо</w:t>
      </w:r>
      <w:r w:rsidR="008A0B0D" w:rsidRPr="005011C9">
        <w:rPr>
          <w:rFonts w:ascii="Times New Roman" w:hAnsi="Times New Roman"/>
          <w:sz w:val="28"/>
          <w:szCs w:val="24"/>
          <w:lang w:val="ru"/>
        </w:rPr>
        <w:t>лее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единоличным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собственником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капитала,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либо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держателем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определенной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доли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участия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капитале.</w:t>
      </w:r>
    </w:p>
    <w:p w:rsidR="00DF292E" w:rsidRPr="005011C9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Между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сберегательными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кассами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земельными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банкам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и-жиро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централями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Германии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существует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определенное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разделение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труда.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Если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сберкассы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основном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занимаются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«розничным»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бизнесом,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т.е.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оказывают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населению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услуги,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централн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обслуживают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интересы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крупной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клиентуры,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выполняют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операции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денежном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рынке.</w:t>
      </w:r>
    </w:p>
    <w:p w:rsidR="00DF292E" w:rsidRPr="005011C9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Поскольку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смыслом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деятельности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касс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было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остается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поощрение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склонности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сбережению,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также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развитие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региональной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экономики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социальной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сферы,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разрешается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выполнение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операций,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противоречащее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поставленным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целям.</w:t>
      </w:r>
    </w:p>
    <w:p w:rsidR="00DF292E" w:rsidRPr="005011C9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Особенностью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институтов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Германии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также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является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организационно-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правовая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привязка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определенной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местности,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следовательно,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социально-экономическим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потребностям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клиентов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отдельных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территорий.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Это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означает,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что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каждом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населенном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пункте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создается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своя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сберкасса,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что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исключает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межбанковскую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конкуренцию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институтов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одной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7D4CD7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же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территории.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же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время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они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сфере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услуг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должны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конкурировать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другими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кредитными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организациями.</w:t>
      </w:r>
    </w:p>
    <w:p w:rsidR="00DF292E" w:rsidRPr="005011C9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Ограничение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дедовой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активности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учреждений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сфере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выполняемых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операций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определенной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территорией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является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целесообразным,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поскольку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наилучшим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образом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известны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условия,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характерные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для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данного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региона.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Благодаря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этому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Германии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обеспечивается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равномерное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развитие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расширение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банковской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инфраструктуры,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сохраняются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препятствия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для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нежелательной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конкуренции.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Однако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слишком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строгий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подход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применению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регионального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принципа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может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нанести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ущерб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интересам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клиентов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касс,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что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предполагает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возможные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текущие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изменения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реализации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принципов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формирования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использования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финансовых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средств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институтов.</w:t>
      </w:r>
    </w:p>
    <w:p w:rsidR="00DF292E" w:rsidRPr="005011C9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Если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основную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часть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пассивов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(финансовых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средств)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зарубежных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учреждений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составляют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депозиты,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основная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часть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активов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приходится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ипотечные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ссуды.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Однако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последние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годы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доля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активах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отрасли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значительно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сокращается.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это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влияние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оказывает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несколько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факторов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(меры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регулированию,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продажа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ипотечных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займов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вторичном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рынке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т.д.),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среди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которых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особое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значение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имеют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высокие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риски,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присущие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ипотечным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операциям.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Так,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например,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2006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—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2007гг.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риски,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связанные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невозвратом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ипотечных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ссуд,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США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приобрели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массовый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характер.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Это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стало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одной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из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главных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причин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развернувшегося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этой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стране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банковского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кризиса.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Несмотря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это,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основная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кредитная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деятельность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институтов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США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Германии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сосредоточена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ипотечном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кредите.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Ссуды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под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недвижимость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этих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странах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зачастую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достигают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50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%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совокупных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активов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отрасли.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Второе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место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величине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активов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приходится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долю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ценных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бумаг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государства.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состав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строго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регулируется.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Государственные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ценные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бумаги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всегда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приемлемы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качестве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инвестиций.</w:t>
      </w:r>
    </w:p>
    <w:p w:rsidR="00DF292E" w:rsidRPr="005011C9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целом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деятельность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институтов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формированию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использованию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финансовых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средств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США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регулируется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только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федеральными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законами,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текущими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законодательными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мерами,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которым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относятся:</w:t>
      </w:r>
    </w:p>
    <w:p w:rsidR="008A0B0D" w:rsidRPr="005011C9" w:rsidRDefault="008A0B0D" w:rsidP="005011C9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резервные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требования;</w:t>
      </w:r>
    </w:p>
    <w:p w:rsidR="008A0B0D" w:rsidRPr="005011C9" w:rsidRDefault="008A0B0D" w:rsidP="005011C9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минимальный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размер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собственного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капитала;</w:t>
      </w:r>
    </w:p>
    <w:p w:rsidR="008A0B0D" w:rsidRPr="005011C9" w:rsidRDefault="008A0B0D" w:rsidP="005011C9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процентные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ставки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депозитам;</w:t>
      </w:r>
    </w:p>
    <w:p w:rsidR="008A0B0D" w:rsidRPr="005011C9" w:rsidRDefault="008A0B0D" w:rsidP="005011C9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налогообложение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др.</w:t>
      </w:r>
    </w:p>
    <w:p w:rsidR="00DF292E" w:rsidRPr="005011C9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Германии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надзор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регулирование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="008A0B0D" w:rsidRPr="005011C9">
        <w:rPr>
          <w:rFonts w:ascii="Times New Roman" w:hAnsi="Times New Roman"/>
          <w:sz w:val="28"/>
          <w:szCs w:val="24"/>
          <w:lang w:val="ru"/>
        </w:rPr>
        <w:t>деятель</w:t>
      </w:r>
      <w:r w:rsidRPr="005011C9">
        <w:rPr>
          <w:rFonts w:ascii="Times New Roman" w:hAnsi="Times New Roman"/>
          <w:sz w:val="28"/>
          <w:szCs w:val="24"/>
          <w:lang w:val="ru"/>
        </w:rPr>
        <w:t>ностью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институтов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основном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осуществляется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стороны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субъектов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Федерации.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Такой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надзор,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отменяющий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дублирующий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контрольных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функций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Федерального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ведомства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надзору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кредитными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организациями,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находится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компетенции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правительства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федеральных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земель.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Они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принимают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все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необходимые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меры,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чтобы</w:t>
      </w:r>
      <w:r w:rsidR="007D4CD7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деятельность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учреждений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соответствовала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законам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уставам.</w:t>
      </w:r>
    </w:p>
    <w:p w:rsidR="00DF292E" w:rsidRPr="005011C9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Социальная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сущность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дела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Германии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определяется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рядом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обстоятельств:</w:t>
      </w:r>
    </w:p>
    <w:p w:rsidR="00DF292E" w:rsidRPr="005011C9" w:rsidRDefault="00DF292E" w:rsidP="005011C9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во-первых,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сравнительно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высокая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доля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учреждений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обороте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операций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всей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банковской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системы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страны;</w:t>
      </w:r>
    </w:p>
    <w:p w:rsidR="00DF292E" w:rsidRPr="005011C9" w:rsidRDefault="00DF292E" w:rsidP="005011C9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во-вторых,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основу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пассивов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сберкасс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других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учреждений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составляют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сбережения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населения;</w:t>
      </w:r>
    </w:p>
    <w:p w:rsidR="00DF292E" w:rsidRPr="005011C9" w:rsidRDefault="00DF292E" w:rsidP="005011C9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в-третьих,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более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60%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граждан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страны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имеют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счета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учреждениях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различных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форм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организации;</w:t>
      </w:r>
    </w:p>
    <w:p w:rsidR="00DF292E" w:rsidRPr="005011C9" w:rsidRDefault="00DF292E" w:rsidP="005011C9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в-четвертых,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кассы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головные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организации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традиционно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занимают</w:t>
      </w:r>
      <w:r w:rsidR="007D4CD7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ведущее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положение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экономической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социальной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жизни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страны.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Они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представляют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клиентам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более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65%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коммунальных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кредитов,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они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располагают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большей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частью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банкоматов,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а,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следовательно,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выполняют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большее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число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операций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реализации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электронных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расчетов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платежей.</w:t>
      </w:r>
    </w:p>
    <w:p w:rsidR="00DF292E" w:rsidRPr="005011C9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Германии,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как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было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уже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отмечено,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помимо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государственных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имеется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много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частноправовых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касс.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Они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основном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организованы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виде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объединений,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поддерживаемых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населением.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Цели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задачи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таких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учреждений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особо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отличаются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государственных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институтов.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Единственное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отличие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заключается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том,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что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распространяются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регулирующие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законы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федеральных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земель,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кроме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одного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случая.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запрещено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совершать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спекулятивные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сделки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счет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своих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финансовых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средств.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же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время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="007D4CD7">
        <w:rPr>
          <w:rFonts w:ascii="Times New Roman" w:hAnsi="Times New Roman"/>
          <w:sz w:val="28"/>
          <w:szCs w:val="24"/>
          <w:lang w:val="ru"/>
        </w:rPr>
        <w:t>все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институты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одинаково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распространяется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действие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закона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«О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кредитном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деле».</w:t>
      </w:r>
    </w:p>
    <w:p w:rsidR="00DF292E" w:rsidRPr="005011C9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Другой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важной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особенностью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регулирования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дела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Германии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является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сочетание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общих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специальных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норм,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обеспечивающих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как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функциональную,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так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организационные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стороны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деятельности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учреждений.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этом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функциональная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сторона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деятельности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сберкасс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регулируется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законом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«О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кредитном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деле»,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организационная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-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законами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федеральных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земель.</w:t>
      </w:r>
    </w:p>
    <w:p w:rsidR="00DF292E" w:rsidRPr="005011C9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Германии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надзор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деятельностью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учреждений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осуществляется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также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стороны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членов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правительства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(министров)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федеральных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земель.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Кроме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того,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этой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стране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имеется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социальное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федеральное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ведомство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организации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профессионального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надзора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кредитным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бизнесом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касс.</w:t>
      </w:r>
    </w:p>
    <w:p w:rsidR="00DF292E" w:rsidRPr="005011C9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Надзорные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функции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администраций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(министров)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федеральных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земель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других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регулирующих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органов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учитывают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характерные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особенности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земельных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банков-жироцентралей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(ландссбанков)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исходя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из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этого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устанавливают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следующие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главные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сферы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деятельности:</w:t>
      </w:r>
    </w:p>
    <w:p w:rsidR="008A0B0D" w:rsidRPr="005011C9" w:rsidRDefault="008A0B0D" w:rsidP="005011C9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банковское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обслуживание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субъектов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Федерации;</w:t>
      </w:r>
    </w:p>
    <w:p w:rsidR="008A0B0D" w:rsidRPr="005011C9" w:rsidRDefault="008A0B0D" w:rsidP="005011C9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осуществление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безналичных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расчетов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между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сберегательными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учреждениями,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управление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свободными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ликвидными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средствами;</w:t>
      </w:r>
    </w:p>
    <w:p w:rsidR="008A0B0D" w:rsidRPr="005011C9" w:rsidRDefault="008A0B0D" w:rsidP="005011C9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рефинансирование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касс;</w:t>
      </w:r>
    </w:p>
    <w:p w:rsidR="008A0B0D" w:rsidRPr="005011C9" w:rsidRDefault="008A0B0D" w:rsidP="005011C9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предоставление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финансовых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других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услуг,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содействующих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развитию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региональной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экономики.</w:t>
      </w:r>
    </w:p>
    <w:p w:rsidR="00DF292E" w:rsidRPr="005011C9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По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мер</w:t>
      </w:r>
      <w:r w:rsidR="008A0B0D" w:rsidRPr="005011C9">
        <w:rPr>
          <w:rFonts w:ascii="Times New Roman" w:hAnsi="Times New Roman"/>
          <w:sz w:val="28"/>
          <w:szCs w:val="24"/>
          <w:lang w:val="ru"/>
        </w:rPr>
        <w:t>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осуществления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деятельности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отмеченных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направлениях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земельные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банки-ж</w:t>
      </w:r>
      <w:r w:rsidR="008A0B0D" w:rsidRPr="005011C9">
        <w:rPr>
          <w:rFonts w:ascii="Times New Roman" w:hAnsi="Times New Roman"/>
          <w:sz w:val="28"/>
          <w:szCs w:val="24"/>
          <w:lang w:val="ru"/>
        </w:rPr>
        <w:t>и</w:t>
      </w:r>
      <w:r w:rsidRPr="005011C9">
        <w:rPr>
          <w:rFonts w:ascii="Times New Roman" w:hAnsi="Times New Roman"/>
          <w:sz w:val="28"/>
          <w:szCs w:val="24"/>
          <w:lang w:val="ru"/>
        </w:rPr>
        <w:t>роцентрали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(ландссбанки)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выступают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как:</w:t>
      </w:r>
    </w:p>
    <w:p w:rsidR="008A0B0D" w:rsidRPr="005011C9" w:rsidRDefault="008A0B0D" w:rsidP="005011C9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государственные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банки,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удовлетворяющие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текущие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потребности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субъектов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федеральных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землях:</w:t>
      </w:r>
    </w:p>
    <w:p w:rsidR="008A0B0D" w:rsidRPr="005011C9" w:rsidRDefault="008A0B0D" w:rsidP="005011C9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головные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касс;</w:t>
      </w:r>
    </w:p>
    <w:p w:rsidR="008A0B0D" w:rsidRPr="005011C9" w:rsidRDefault="008A0B0D" w:rsidP="005011C9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банки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регионального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развития.</w:t>
      </w:r>
    </w:p>
    <w:p w:rsidR="00DF292E" w:rsidRPr="005011C9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Отличительной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особенностью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ландссбанко</w:t>
      </w:r>
      <w:r w:rsidR="008A0B0D" w:rsidRPr="005011C9">
        <w:rPr>
          <w:rFonts w:ascii="Times New Roman" w:hAnsi="Times New Roman"/>
          <w:sz w:val="28"/>
          <w:szCs w:val="24"/>
          <w:lang w:val="ru"/>
        </w:rPr>
        <w:t>в,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таким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образом,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выступает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административное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регулирование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стороны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исполнительной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власти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субъектов.</w:t>
      </w:r>
    </w:p>
    <w:p w:rsidR="00DF292E" w:rsidRPr="005011C9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Банкротство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большого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количества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предприятий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-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заемщиков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касс,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также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кредитных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организаций,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работающих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сфере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ипотечного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кредитования,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становится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массовым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явлением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странах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развитой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экономикой.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Главной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причиной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этого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явления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является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невозврат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ранее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предоставленных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кредитов,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что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свою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очередь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обусловливается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следующими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факторами:</w:t>
      </w:r>
    </w:p>
    <w:p w:rsidR="008A0B0D" w:rsidRPr="005011C9" w:rsidRDefault="008A0B0D" w:rsidP="005011C9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отсутствием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заемщика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достаточного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размера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собственного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капитала;</w:t>
      </w:r>
    </w:p>
    <w:p w:rsidR="008A0B0D" w:rsidRPr="005011C9" w:rsidRDefault="008A0B0D" w:rsidP="005011C9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наличием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долгосрочных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вложений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краткосрочного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капитала;</w:t>
      </w:r>
    </w:p>
    <w:p w:rsidR="008A0B0D" w:rsidRPr="005011C9" w:rsidRDefault="008A0B0D" w:rsidP="005011C9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увеличением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издержек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снижением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уровня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рентабельности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производства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товаров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услуг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др.</w:t>
      </w:r>
    </w:p>
    <w:p w:rsidR="00DF292E" w:rsidRPr="005011C9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Оценка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сравнительного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значения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отдельных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факторов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банкротства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предприятий-заемщиков,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проведенная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рубежом,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установила,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что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внешние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объективные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причины,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например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трудности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сбытом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продукции,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отраслевой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кризис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т.д..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="007D4CD7">
        <w:rPr>
          <w:rFonts w:ascii="Times New Roman" w:hAnsi="Times New Roman"/>
          <w:sz w:val="28"/>
          <w:szCs w:val="24"/>
          <w:lang w:val="ru"/>
        </w:rPr>
        <w:t>ус</w:t>
      </w:r>
      <w:r w:rsidRPr="005011C9">
        <w:rPr>
          <w:rFonts w:ascii="Times New Roman" w:hAnsi="Times New Roman"/>
          <w:sz w:val="28"/>
          <w:szCs w:val="24"/>
          <w:lang w:val="ru"/>
        </w:rPr>
        <w:t>тупают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значению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внутренним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субъективным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факторам.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Неопытность,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некомпетентность,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="007D4CD7">
        <w:rPr>
          <w:rFonts w:ascii="Times New Roman" w:hAnsi="Times New Roman"/>
          <w:sz w:val="28"/>
          <w:szCs w:val="24"/>
          <w:lang w:val="ru"/>
        </w:rPr>
        <w:t>расто</w:t>
      </w:r>
      <w:r w:rsidRPr="005011C9">
        <w:rPr>
          <w:rFonts w:ascii="Times New Roman" w:hAnsi="Times New Roman"/>
          <w:sz w:val="28"/>
          <w:szCs w:val="24"/>
          <w:lang w:val="ru"/>
        </w:rPr>
        <w:t>чительность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кадров-специалистов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часто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приводят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увеличению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расходов,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снижению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рентабельности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производства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п.</w:t>
      </w:r>
    </w:p>
    <w:p w:rsidR="00DF292E" w:rsidRPr="005011C9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Указанные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обстоятельства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предъявляют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особые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требования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контролю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стороны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ситуацией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предприятиях-заемщиках.</w:t>
      </w:r>
    </w:p>
    <w:p w:rsidR="00DF292E" w:rsidRPr="005011C9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Отсутствие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такого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банковского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контроля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деятельностью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заемщиков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ипотечного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кредита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последнее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время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стало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одной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из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основных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причин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экономического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кризиса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7D4CD7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США,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Германии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некоторых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других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странах.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качестве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индикаторов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возможных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платежных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затруднений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данном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случае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можно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рассматривать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чрезмерную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зависимость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отдельных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фирм,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строительных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компаний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других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заемщиков,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накопивших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крупные</w:t>
      </w:r>
      <w:r w:rsidR="007D4CD7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долги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кредитам,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или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слишком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высокие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запасы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нереализованной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продукции,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или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же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хроническое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превышение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открытых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кредитных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линий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т.д.</w:t>
      </w:r>
    </w:p>
    <w:p w:rsidR="00DF292E" w:rsidRPr="005011C9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При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выявлении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должника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платежных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затруднений,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например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временной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нехватки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средств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для</w:t>
      </w:r>
      <w:r w:rsidR="007D4CD7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выполнения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своих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обязательств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перед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кредитором,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инициирует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процедуру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внесудебного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предостережения,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вступает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должником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контакт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целях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найти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пути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взаимоприемлемого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разрешения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проблем.</w:t>
      </w:r>
    </w:p>
    <w:p w:rsidR="00DF292E" w:rsidRPr="005011C9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При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этом,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если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заемщик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осуществляет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платежей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изъявляет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готовности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найти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совместно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банком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возможное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решение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возникших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задач,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направляет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ему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последнее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предупреждение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извещением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расторжении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кредитных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отношений.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Кроме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того,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вправе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считать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должника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несостоятельным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арестовывать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счета,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ценные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бумаги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другие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ценности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клиента,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депонированные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банке.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таких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случаях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банкам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и-кредиторам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принимаются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также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другие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меры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удовлетворению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претензий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счет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движимого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недвижимого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имущества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должника.</w:t>
      </w:r>
    </w:p>
    <w:p w:rsidR="00DF292E" w:rsidRPr="005011C9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Что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же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касается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факторов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банкротства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самих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банков,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можно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также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разделить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две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группы: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внешние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внутренние.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Внешние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факторы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настолько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многообразны,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что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только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путем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="008A0B0D" w:rsidRPr="005011C9">
        <w:rPr>
          <w:rFonts w:ascii="Times New Roman" w:hAnsi="Times New Roman"/>
          <w:sz w:val="28"/>
          <w:szCs w:val="24"/>
        </w:rPr>
        <w:t>регрес</w:t>
      </w:r>
      <w:r w:rsidRPr="005011C9">
        <w:rPr>
          <w:rFonts w:ascii="Times New Roman" w:hAnsi="Times New Roman"/>
          <w:sz w:val="28"/>
          <w:szCs w:val="24"/>
          <w:lang w:val="ru"/>
        </w:rPr>
        <w:t>сио</w:t>
      </w:r>
      <w:r w:rsidR="008A0B0D" w:rsidRPr="005011C9">
        <w:rPr>
          <w:rFonts w:ascii="Times New Roman" w:hAnsi="Times New Roman"/>
          <w:sz w:val="28"/>
          <w:szCs w:val="24"/>
          <w:lang w:val="ru"/>
        </w:rPr>
        <w:t>н</w:t>
      </w:r>
      <w:r w:rsidRPr="005011C9">
        <w:rPr>
          <w:rFonts w:ascii="Times New Roman" w:hAnsi="Times New Roman"/>
          <w:sz w:val="28"/>
          <w:szCs w:val="24"/>
          <w:lang w:val="ru"/>
        </w:rPr>
        <w:t>но-корреляционного</w:t>
      </w:r>
      <w:r w:rsidR="007D4CD7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анализа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можно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выделить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наиболее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существенные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из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них.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Например,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изменение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общественно-экономической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ситуации,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утрата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банком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доверия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публики,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массовое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изъятие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вкладов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Однако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большинство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внешних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факторов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имеют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количественной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характеристики,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ввиду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чего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трудно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измерять,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оценивать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анализировать.</w:t>
      </w:r>
    </w:p>
    <w:p w:rsidR="00DF292E" w:rsidRPr="005011C9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же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время,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как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убеждают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зарубежные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исследователи,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подавляющее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большинство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банковских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банкротств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сводится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конечном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итоге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внутренним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причинам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(факторам),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таким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как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ошибочная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кредитная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политика,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некомпетентность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руководства,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нарушение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действующих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нормативов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т.д.</w:t>
      </w:r>
    </w:p>
    <w:p w:rsidR="00DF292E" w:rsidRPr="005011C9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отличие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предприятий-заемщиков,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имеют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сравнительно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более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благоприятные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возможности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для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преодоления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временных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платежных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затруднений,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именно:</w:t>
      </w:r>
    </w:p>
    <w:p w:rsidR="008A0B0D" w:rsidRPr="005011C9" w:rsidRDefault="008A0B0D" w:rsidP="005011C9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оплата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счет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межбанковского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кредита;</w:t>
      </w:r>
    </w:p>
    <w:p w:rsidR="008A0B0D" w:rsidRPr="005011C9" w:rsidRDefault="008A0B0D" w:rsidP="005011C9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рефинансирование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через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центральный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т.п.</w:t>
      </w:r>
    </w:p>
    <w:p w:rsidR="00DF292E" w:rsidRPr="005011C9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же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время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указанное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обстоятельство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может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усилить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панику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среди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вкладчиков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возникновении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первых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же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признаков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платежных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затруднений.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утрата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доверия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банку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резко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снижает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его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рыночную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стоимость,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тем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самым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утрачивает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возможность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проведения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высокодоходных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активных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пассивных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операций.</w:t>
      </w:r>
    </w:p>
    <w:p w:rsidR="00DF292E" w:rsidRPr="005011C9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Важнейшую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роль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решении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проблем,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связанных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банкротством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предприятий-заемщиков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«проблемных»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рубежом,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играет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система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страхования,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которая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выполняет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несколько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функций:</w:t>
      </w:r>
    </w:p>
    <w:p w:rsidR="008A0B0D" w:rsidRPr="005011C9" w:rsidRDefault="008A0B0D" w:rsidP="005011C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обеспечение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стабильности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укрепление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доверия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банковской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финансовой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системе;</w:t>
      </w:r>
    </w:p>
    <w:p w:rsidR="008A0B0D" w:rsidRPr="005011C9" w:rsidRDefault="008A0B0D" w:rsidP="005011C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защита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интересов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мелких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вкладчиков;</w:t>
      </w:r>
    </w:p>
    <w:p w:rsidR="008A0B0D" w:rsidRPr="005011C9" w:rsidRDefault="008A0B0D" w:rsidP="005011C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минимизация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издержек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страхования;</w:t>
      </w:r>
    </w:p>
    <w:p w:rsidR="008A0B0D" w:rsidRPr="005011C9" w:rsidRDefault="008A0B0D" w:rsidP="005011C9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содействие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слиянии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форме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«покупки-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присоединения»,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санация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банковских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учреждений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др.</w:t>
      </w:r>
    </w:p>
    <w:p w:rsidR="00DF292E" w:rsidRPr="005011C9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Выполнение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этих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функций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предполагает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активное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участие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</w:t>
      </w:r>
      <w:r w:rsidR="008A0B0D" w:rsidRPr="005011C9">
        <w:rPr>
          <w:rFonts w:ascii="Times New Roman" w:hAnsi="Times New Roman"/>
          <w:sz w:val="28"/>
          <w:szCs w:val="24"/>
          <w:lang w:val="ru"/>
        </w:rPr>
        <w:t>истемы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="008A0B0D" w:rsidRPr="005011C9">
        <w:rPr>
          <w:rFonts w:ascii="Times New Roman" w:hAnsi="Times New Roman"/>
          <w:sz w:val="28"/>
          <w:szCs w:val="24"/>
          <w:lang w:val="ru"/>
        </w:rPr>
        <w:t>депозитного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="008A0B0D" w:rsidRPr="005011C9">
        <w:rPr>
          <w:rFonts w:ascii="Times New Roman" w:hAnsi="Times New Roman"/>
          <w:sz w:val="28"/>
          <w:szCs w:val="24"/>
          <w:lang w:val="ru"/>
        </w:rPr>
        <w:t>страхования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фондов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других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общественных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объединений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финансовом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оздоровлении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предприятий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банков,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оказавшихся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грани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банкротства.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этом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каждая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страна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учитывает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специфические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особенности,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сложившиеся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национальной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банковской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системе.</w:t>
      </w:r>
    </w:p>
    <w:p w:rsidR="00DF292E" w:rsidRPr="005011C9" w:rsidRDefault="007D4CD7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>
        <w:rPr>
          <w:rFonts w:ascii="Times New Roman" w:hAnsi="Times New Roman"/>
          <w:sz w:val="28"/>
          <w:szCs w:val="24"/>
          <w:lang w:val="ru"/>
        </w:rPr>
        <w:t xml:space="preserve">Так, </w:t>
      </w:r>
      <w:r w:rsidR="00DF292E" w:rsidRPr="005011C9">
        <w:rPr>
          <w:rFonts w:ascii="Times New Roman" w:hAnsi="Times New Roman"/>
          <w:sz w:val="28"/>
          <w:szCs w:val="24"/>
          <w:lang w:val="ru"/>
        </w:rPr>
        <w:t>например,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="00DF292E"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="00DF292E" w:rsidRPr="005011C9">
        <w:rPr>
          <w:rFonts w:ascii="Times New Roman" w:hAnsi="Times New Roman"/>
          <w:sz w:val="28"/>
          <w:szCs w:val="24"/>
          <w:lang w:val="ru"/>
        </w:rPr>
        <w:t>Германии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="00DF292E" w:rsidRPr="005011C9">
        <w:rPr>
          <w:rFonts w:ascii="Times New Roman" w:hAnsi="Times New Roman"/>
          <w:sz w:val="28"/>
          <w:szCs w:val="24"/>
          <w:lang w:val="ru"/>
        </w:rPr>
        <w:t>Фонды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="00DF292E" w:rsidRPr="005011C9">
        <w:rPr>
          <w:rFonts w:ascii="Times New Roman" w:hAnsi="Times New Roman"/>
          <w:sz w:val="28"/>
          <w:szCs w:val="24"/>
          <w:lang w:val="ru"/>
        </w:rPr>
        <w:t>страхования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="00DF292E" w:rsidRPr="005011C9">
        <w:rPr>
          <w:rFonts w:ascii="Times New Roman" w:hAnsi="Times New Roman"/>
          <w:sz w:val="28"/>
          <w:szCs w:val="24"/>
          <w:lang w:val="ru"/>
        </w:rPr>
        <w:t>вкладов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="00DF292E" w:rsidRPr="005011C9">
        <w:rPr>
          <w:rFonts w:ascii="Times New Roman" w:hAnsi="Times New Roman"/>
          <w:sz w:val="28"/>
          <w:szCs w:val="24"/>
          <w:lang w:val="ru"/>
        </w:rPr>
        <w:t>занимаются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="00DF292E" w:rsidRPr="005011C9">
        <w:rPr>
          <w:rFonts w:ascii="Times New Roman" w:hAnsi="Times New Roman"/>
          <w:sz w:val="28"/>
          <w:szCs w:val="24"/>
          <w:lang w:val="ru"/>
        </w:rPr>
        <w:t>оказанием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="00DF292E" w:rsidRPr="005011C9">
        <w:rPr>
          <w:rFonts w:ascii="Times New Roman" w:hAnsi="Times New Roman"/>
          <w:sz w:val="28"/>
          <w:szCs w:val="24"/>
          <w:lang w:val="ru"/>
        </w:rPr>
        <w:t>необходимой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="00DF292E" w:rsidRPr="005011C9">
        <w:rPr>
          <w:rFonts w:ascii="Times New Roman" w:hAnsi="Times New Roman"/>
          <w:sz w:val="28"/>
          <w:szCs w:val="24"/>
          <w:lang w:val="ru"/>
        </w:rPr>
        <w:t>помощи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="00DF292E"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="00DF292E" w:rsidRPr="005011C9">
        <w:rPr>
          <w:rFonts w:ascii="Times New Roman" w:hAnsi="Times New Roman"/>
          <w:sz w:val="28"/>
          <w:szCs w:val="24"/>
          <w:lang w:val="ru"/>
        </w:rPr>
        <w:t>интересах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="00DF292E" w:rsidRPr="005011C9">
        <w:rPr>
          <w:rFonts w:ascii="Times New Roman" w:hAnsi="Times New Roman"/>
          <w:sz w:val="28"/>
          <w:szCs w:val="24"/>
          <w:lang w:val="ru"/>
        </w:rPr>
        <w:t>вкладчиков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="00DF292E"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="00DF292E" w:rsidRPr="005011C9">
        <w:rPr>
          <w:rFonts w:ascii="Times New Roman" w:hAnsi="Times New Roman"/>
          <w:sz w:val="28"/>
          <w:szCs w:val="24"/>
          <w:lang w:val="ru"/>
        </w:rPr>
        <w:t>недопущении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="00DF292E" w:rsidRPr="005011C9">
        <w:rPr>
          <w:rFonts w:ascii="Times New Roman" w:hAnsi="Times New Roman"/>
          <w:sz w:val="28"/>
          <w:szCs w:val="24"/>
          <w:lang w:val="ru"/>
        </w:rPr>
        <w:t>снижения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="00DF292E" w:rsidRPr="005011C9">
        <w:rPr>
          <w:rFonts w:ascii="Times New Roman" w:hAnsi="Times New Roman"/>
          <w:sz w:val="28"/>
          <w:szCs w:val="24"/>
          <w:lang w:val="ru"/>
        </w:rPr>
        <w:t>доверия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="00DF292E" w:rsidRPr="005011C9">
        <w:rPr>
          <w:rFonts w:ascii="Times New Roman" w:hAnsi="Times New Roman"/>
          <w:sz w:val="28"/>
          <w:szCs w:val="24"/>
          <w:lang w:val="ru"/>
        </w:rPr>
        <w:t>к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="00DF292E" w:rsidRPr="005011C9">
        <w:rPr>
          <w:rFonts w:ascii="Times New Roman" w:hAnsi="Times New Roman"/>
          <w:sz w:val="28"/>
          <w:szCs w:val="24"/>
          <w:lang w:val="ru"/>
        </w:rPr>
        <w:t>частным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="00DF292E" w:rsidRPr="005011C9">
        <w:rPr>
          <w:rFonts w:ascii="Times New Roman" w:hAnsi="Times New Roman"/>
          <w:sz w:val="28"/>
          <w:szCs w:val="24"/>
          <w:lang w:val="ru"/>
        </w:rPr>
        <w:t>банкам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="00DF292E"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="00DF292E" w:rsidRPr="005011C9">
        <w:rPr>
          <w:rFonts w:ascii="Times New Roman" w:hAnsi="Times New Roman"/>
          <w:sz w:val="28"/>
          <w:szCs w:val="24"/>
          <w:lang w:val="ru"/>
        </w:rPr>
        <w:t>случае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="00DF292E" w:rsidRPr="005011C9">
        <w:rPr>
          <w:rFonts w:ascii="Times New Roman" w:hAnsi="Times New Roman"/>
          <w:sz w:val="28"/>
          <w:szCs w:val="24"/>
          <w:lang w:val="ru"/>
        </w:rPr>
        <w:t>возможных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="00DF292E" w:rsidRPr="005011C9">
        <w:rPr>
          <w:rFonts w:ascii="Times New Roman" w:hAnsi="Times New Roman"/>
          <w:sz w:val="28"/>
          <w:szCs w:val="24"/>
          <w:lang w:val="ru"/>
        </w:rPr>
        <w:t>платежных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="00DF292E" w:rsidRPr="005011C9">
        <w:rPr>
          <w:rFonts w:ascii="Times New Roman" w:hAnsi="Times New Roman"/>
          <w:sz w:val="28"/>
          <w:szCs w:val="24"/>
          <w:lang w:val="ru"/>
        </w:rPr>
        <w:t>затруднений.</w:t>
      </w:r>
    </w:p>
    <w:p w:rsidR="00DF292E" w:rsidRPr="005011C9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Наряду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этим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качестве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срочных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могут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использоваться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такие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меры,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как:</w:t>
      </w:r>
    </w:p>
    <w:p w:rsidR="00DF292E" w:rsidRPr="005011C9" w:rsidRDefault="00DF292E" w:rsidP="005011C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временное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закрытие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банка:</w:t>
      </w:r>
    </w:p>
    <w:p w:rsidR="00DF292E" w:rsidRPr="005011C9" w:rsidRDefault="00DF292E" w:rsidP="005011C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запрет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осуществление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финансовых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операций;</w:t>
      </w:r>
    </w:p>
    <w:p w:rsidR="00DF292E" w:rsidRPr="005011C9" w:rsidRDefault="00DF292E" w:rsidP="005011C9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запрет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прием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новых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вкладов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др.</w:t>
      </w:r>
    </w:p>
    <w:p w:rsidR="00DF292E" w:rsidRPr="005011C9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США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широкое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распространение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имеет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практика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«покупки-присоединения»,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санация,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когда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Федеральная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корпорация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страхования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вкладов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может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оказывать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финансовую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помощь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угрозе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закрытия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застрахованного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банка.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этом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используется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несколько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методов:</w:t>
      </w:r>
    </w:p>
    <w:p w:rsidR="00DF292E" w:rsidRPr="005011C9" w:rsidRDefault="00DF292E" w:rsidP="005011C9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помощь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оказывается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непосредственно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тому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банку,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который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испытывает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финансовые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затруднения;</w:t>
      </w:r>
    </w:p>
    <w:p w:rsidR="00DF292E" w:rsidRPr="005011C9" w:rsidRDefault="00DF292E" w:rsidP="005011C9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оказывается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содействие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слиянии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данного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другими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устойчивыми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7D4CD7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финансовом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отношении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банками;</w:t>
      </w:r>
    </w:p>
    <w:p w:rsidR="00DF292E" w:rsidRPr="005011C9" w:rsidRDefault="00DF292E" w:rsidP="005011C9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оказание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помощи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компании,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которая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контролирует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неплатежеспособный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банк.</w:t>
      </w:r>
    </w:p>
    <w:p w:rsidR="00DF292E" w:rsidRPr="005011C9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Деятельность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Фонда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страхования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вкладов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Германии,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Федеральной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корпорации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страхования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вкладов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США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подобных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организациях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других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странах,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направленная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решение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проблем,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связанных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банкротством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предприятий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банков,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должна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дополняться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мерами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предотвращению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кризисных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явлений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экономике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целом,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именно:</w:t>
      </w:r>
    </w:p>
    <w:p w:rsidR="00DF292E" w:rsidRPr="005011C9" w:rsidRDefault="00DF292E" w:rsidP="005011C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сбалансированность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макроэкономической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политики;</w:t>
      </w:r>
    </w:p>
    <w:p w:rsidR="00DF292E" w:rsidRPr="005011C9" w:rsidRDefault="00DF292E" w:rsidP="005011C9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совершенствование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банковского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надзора.</w:t>
      </w:r>
    </w:p>
    <w:p w:rsidR="00DF292E" w:rsidRPr="005011C9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Эти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меры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направляются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первую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очередь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усиление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борьбы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инфляцией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стабильное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развитие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отраслей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экономики.</w:t>
      </w:r>
    </w:p>
    <w:p w:rsidR="005011C9" w:rsidRDefault="005011C9" w:rsidP="005011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ru"/>
        </w:rPr>
      </w:pPr>
    </w:p>
    <w:p w:rsidR="00DF292E" w:rsidRPr="005011C9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  <w:lang w:val="ru"/>
        </w:rPr>
      </w:pPr>
      <w:r w:rsidRPr="005011C9">
        <w:rPr>
          <w:rFonts w:ascii="Times New Roman" w:hAnsi="Times New Roman"/>
          <w:b/>
          <w:sz w:val="28"/>
          <w:szCs w:val="24"/>
          <w:lang w:val="ru"/>
        </w:rPr>
        <w:t>2</w:t>
      </w:r>
      <w:r w:rsidR="005011C9">
        <w:rPr>
          <w:rFonts w:ascii="Times New Roman" w:hAnsi="Times New Roman"/>
          <w:b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b/>
          <w:sz w:val="28"/>
          <w:szCs w:val="24"/>
          <w:lang w:val="ru"/>
        </w:rPr>
        <w:t>Сберегательный</w:t>
      </w:r>
      <w:r w:rsidR="005011C9">
        <w:rPr>
          <w:rFonts w:ascii="Times New Roman" w:hAnsi="Times New Roman"/>
          <w:b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b/>
          <w:sz w:val="28"/>
          <w:szCs w:val="24"/>
          <w:lang w:val="ru"/>
        </w:rPr>
        <w:t>бизнес:</w:t>
      </w:r>
      <w:r w:rsidR="005011C9">
        <w:rPr>
          <w:rFonts w:ascii="Times New Roman" w:hAnsi="Times New Roman"/>
          <w:b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b/>
          <w:sz w:val="28"/>
          <w:szCs w:val="24"/>
          <w:lang w:val="ru"/>
        </w:rPr>
        <w:t>российская</w:t>
      </w:r>
      <w:r w:rsidR="005011C9">
        <w:rPr>
          <w:rFonts w:ascii="Times New Roman" w:hAnsi="Times New Roman"/>
          <w:b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b/>
          <w:sz w:val="28"/>
          <w:szCs w:val="24"/>
          <w:lang w:val="ru"/>
        </w:rPr>
        <w:t>практика</w:t>
      </w:r>
      <w:r w:rsidR="005011C9">
        <w:rPr>
          <w:rFonts w:ascii="Times New Roman" w:hAnsi="Times New Roman"/>
          <w:b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b/>
          <w:sz w:val="28"/>
          <w:szCs w:val="24"/>
          <w:lang w:val="ru"/>
        </w:rPr>
        <w:t>(на</w:t>
      </w:r>
      <w:r w:rsidR="005011C9">
        <w:rPr>
          <w:rFonts w:ascii="Times New Roman" w:hAnsi="Times New Roman"/>
          <w:b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b/>
          <w:sz w:val="28"/>
          <w:szCs w:val="24"/>
          <w:lang w:val="ru"/>
        </w:rPr>
        <w:t>примере</w:t>
      </w:r>
      <w:r w:rsidR="005011C9">
        <w:rPr>
          <w:rFonts w:ascii="Times New Roman" w:hAnsi="Times New Roman"/>
          <w:b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b/>
          <w:sz w:val="28"/>
          <w:szCs w:val="24"/>
          <w:lang w:val="ru"/>
        </w:rPr>
        <w:t>ОАО</w:t>
      </w:r>
      <w:r w:rsidR="005011C9">
        <w:rPr>
          <w:rFonts w:ascii="Times New Roman" w:hAnsi="Times New Roman"/>
          <w:b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b/>
          <w:sz w:val="28"/>
          <w:szCs w:val="24"/>
          <w:lang w:val="ru"/>
        </w:rPr>
        <w:t>«Сбербанк»)</w:t>
      </w:r>
    </w:p>
    <w:p w:rsidR="005011C9" w:rsidRDefault="005011C9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</w:p>
    <w:p w:rsidR="00DF292E" w:rsidRPr="005011C9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Исследование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источников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формирования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финансовых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средств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институтов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ведущих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зарубежных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стран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анализ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основных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направлений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использования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сделали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возможной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разработку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ряда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предложений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для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практики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Сбербанка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России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его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территориальных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учреждений.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Эти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разработки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распределены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три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группы.</w:t>
      </w:r>
    </w:p>
    <w:p w:rsidR="00DF292E" w:rsidRPr="005011C9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К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первой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группе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отнесены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предложения,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обеспечивающие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улучшение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качества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банковского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сервиса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повышение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скорости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проведения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="007D4CD7">
        <w:rPr>
          <w:rFonts w:ascii="Times New Roman" w:hAnsi="Times New Roman"/>
          <w:sz w:val="28"/>
          <w:szCs w:val="24"/>
          <w:lang w:val="ru"/>
        </w:rPr>
        <w:t>банков</w:t>
      </w:r>
      <w:r w:rsidRPr="005011C9">
        <w:rPr>
          <w:rFonts w:ascii="Times New Roman" w:hAnsi="Times New Roman"/>
          <w:sz w:val="28"/>
          <w:szCs w:val="24"/>
          <w:lang w:val="ru"/>
        </w:rPr>
        <w:t>ских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операций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для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населения.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ним,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частности,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относятся:</w:t>
      </w:r>
    </w:p>
    <w:p w:rsidR="00DF292E" w:rsidRPr="005011C9" w:rsidRDefault="00DF292E" w:rsidP="005011C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создание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организационной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структуры,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ответственной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развитие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международного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банковского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сервиса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регионах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России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охватом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деятельности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территориальных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учреждений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Сбербанка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России;</w:t>
      </w:r>
    </w:p>
    <w:p w:rsidR="00DF292E" w:rsidRPr="005011C9" w:rsidRDefault="00DF292E" w:rsidP="005011C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разработка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форм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официальных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предложений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клиентам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Сбербанка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России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организации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услуг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сфере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среднесрочного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кредитования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поставок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зарубежной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техники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оборудования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как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наиболее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доступного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источника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привлечения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зарубежных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инвестиций;</w:t>
      </w:r>
    </w:p>
    <w:p w:rsidR="00DF292E" w:rsidRPr="005011C9" w:rsidRDefault="00DF292E" w:rsidP="005011C9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разработка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мер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оптимизации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участия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Сбербанка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России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международной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корреспондентской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сети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других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каналах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получения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необходимой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информации.</w:t>
      </w:r>
    </w:p>
    <w:p w:rsidR="00DF292E" w:rsidRPr="005011C9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Предложения,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относящиеся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второй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группе,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направлены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использование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опыта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зарубежных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институтов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наращивании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объема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банковских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операций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услуг,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прежде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всего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счет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привлечения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новых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клиентов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из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числа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крупных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корпораций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фирм,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обеспечение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развития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долгосрочного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сотрудничества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каждым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из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крупных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предприятий,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находящихся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зоне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действия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банка,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что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приведет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формированию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устойчивых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портфелей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банковских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услуг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путем:</w:t>
      </w:r>
    </w:p>
    <w:p w:rsidR="00DF292E" w:rsidRPr="005011C9" w:rsidRDefault="00DF292E" w:rsidP="005011C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расширения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сферы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обслуживания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внешнеэкономических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экспортно-импортных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операций;</w:t>
      </w:r>
    </w:p>
    <w:p w:rsidR="00DF292E" w:rsidRPr="005011C9" w:rsidRDefault="00DF292E" w:rsidP="005011C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развития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инвестиционных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услуг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учреждений;</w:t>
      </w:r>
    </w:p>
    <w:p w:rsidR="00DF292E" w:rsidRPr="005011C9" w:rsidRDefault="00DF292E" w:rsidP="005011C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увеличения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набора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услуг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клиентам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клиринговых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валютах;</w:t>
      </w:r>
    </w:p>
    <w:p w:rsidR="00DF292E" w:rsidRPr="005011C9" w:rsidRDefault="00DF292E" w:rsidP="005011C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определения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пакета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услуг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единой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европейской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валюте;</w:t>
      </w:r>
    </w:p>
    <w:p w:rsidR="00DF292E" w:rsidRPr="005011C9" w:rsidRDefault="00DF292E" w:rsidP="005011C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увеличения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перечня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услуг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сфере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корпоративных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финансов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т.д.</w:t>
      </w:r>
    </w:p>
    <w:p w:rsidR="00DF292E" w:rsidRPr="005011C9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К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третьей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фазе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относятся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предложения,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связанные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созданием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оптимальной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системы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управления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рисками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системе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территориальных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учреждений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Сбербанка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России.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частности,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рекомендуется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специальная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рейтинговая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таблица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расчета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рисков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кредитовании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внешнеэкономических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сделок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всех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этапах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движения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товаров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услуг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клиентов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учреждений.</w:t>
      </w:r>
    </w:p>
    <w:p w:rsidR="00A247D2" w:rsidRPr="000A7E11" w:rsidRDefault="00A247D2" w:rsidP="00A247D2">
      <w:pPr>
        <w:spacing w:after="0" w:line="360" w:lineRule="auto"/>
        <w:ind w:firstLine="709"/>
        <w:jc w:val="both"/>
        <w:rPr>
          <w:rFonts w:ascii="Times New Roman" w:hAnsi="Times New Roman"/>
          <w:b/>
          <w:color w:val="FFFFFF"/>
          <w:sz w:val="28"/>
          <w:szCs w:val="28"/>
        </w:rPr>
      </w:pPr>
      <w:r w:rsidRPr="000A7E11">
        <w:rPr>
          <w:rFonts w:ascii="Times New Roman" w:hAnsi="Times New Roman"/>
          <w:b/>
          <w:color w:val="FFFFFF"/>
          <w:sz w:val="28"/>
          <w:szCs w:val="24"/>
          <w:lang w:val="ru"/>
        </w:rPr>
        <w:t>сберегательный бизнес депозит ипотечный</w:t>
      </w:r>
    </w:p>
    <w:p w:rsidR="005011C9" w:rsidRPr="00A247D2" w:rsidRDefault="005011C9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DF292E" w:rsidRPr="005011C9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br w:type="page"/>
      </w:r>
    </w:p>
    <w:p w:rsidR="00DF292E" w:rsidRDefault="005011C9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  <w:lang w:val="ru"/>
        </w:rPr>
      </w:pPr>
      <w:r>
        <w:rPr>
          <w:rFonts w:ascii="Times New Roman" w:hAnsi="Times New Roman"/>
          <w:b/>
          <w:sz w:val="28"/>
          <w:szCs w:val="24"/>
          <w:lang w:val="ru"/>
        </w:rPr>
        <w:t>Заключение</w:t>
      </w:r>
    </w:p>
    <w:p w:rsidR="005011C9" w:rsidRPr="005011C9" w:rsidRDefault="005011C9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  <w:lang w:val="ru"/>
        </w:rPr>
      </w:pPr>
    </w:p>
    <w:p w:rsidR="00DF292E" w:rsidRPr="005011C9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целом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опыт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институтов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развитых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стран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российском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рынке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можно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использовать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для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дальнейшего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развития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банковских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услуг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только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корпоративным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клиентам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физическим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лицам</w:t>
      </w:r>
      <w:r w:rsidR="007D4CD7">
        <w:rPr>
          <w:rFonts w:ascii="Times New Roman" w:hAnsi="Times New Roman"/>
          <w:sz w:val="28"/>
          <w:szCs w:val="24"/>
          <w:lang w:val="ru"/>
        </w:rPr>
        <w:t xml:space="preserve">, </w:t>
      </w:r>
      <w:r w:rsidRPr="005011C9">
        <w:rPr>
          <w:rFonts w:ascii="Times New Roman" w:hAnsi="Times New Roman"/>
          <w:sz w:val="28"/>
          <w:szCs w:val="24"/>
          <w:lang w:val="ru"/>
        </w:rPr>
        <w:t>но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осуществлении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инвестиционной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деятельности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коммерческих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банков,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эмиссии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или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банковских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карт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инфраструктуры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обслуживания.</w:t>
      </w:r>
    </w:p>
    <w:p w:rsidR="00DF292E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Особое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значение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для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практики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Сбербанка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России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имеет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использование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опыта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зарубежных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сберегательных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институтов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развитию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консультационных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услуг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обслуживании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предпринимательской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деятельности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своих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клиентов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(установление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корреспондентских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отношений,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оценка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кредитоспособности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клиента,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разработка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индивидуальных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схем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оптимизации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внешнеэкономической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деятельности,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совершенствование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банковского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маркетинга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т.д.).</w:t>
      </w:r>
    </w:p>
    <w:p w:rsidR="005011C9" w:rsidRPr="005011C9" w:rsidRDefault="005011C9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</w:p>
    <w:p w:rsidR="00DF292E" w:rsidRPr="005011C9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br w:type="page"/>
      </w:r>
    </w:p>
    <w:p w:rsidR="00DF292E" w:rsidRDefault="00DF292E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  <w:lang w:val="ru"/>
        </w:rPr>
      </w:pPr>
      <w:r w:rsidRPr="005011C9">
        <w:rPr>
          <w:rFonts w:ascii="Times New Roman" w:hAnsi="Times New Roman"/>
          <w:b/>
          <w:sz w:val="28"/>
          <w:szCs w:val="24"/>
          <w:lang w:val="ru"/>
        </w:rPr>
        <w:t>Список</w:t>
      </w:r>
      <w:r w:rsidR="005011C9">
        <w:rPr>
          <w:rFonts w:ascii="Times New Roman" w:hAnsi="Times New Roman"/>
          <w:b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b/>
          <w:sz w:val="28"/>
          <w:szCs w:val="24"/>
          <w:lang w:val="ru"/>
        </w:rPr>
        <w:t>использованной</w:t>
      </w:r>
      <w:r w:rsidR="005011C9">
        <w:rPr>
          <w:rFonts w:ascii="Times New Roman" w:hAnsi="Times New Roman"/>
          <w:b/>
          <w:sz w:val="28"/>
          <w:szCs w:val="24"/>
          <w:lang w:val="ru"/>
        </w:rPr>
        <w:t xml:space="preserve"> литературы</w:t>
      </w:r>
    </w:p>
    <w:p w:rsidR="005011C9" w:rsidRPr="005011C9" w:rsidRDefault="005011C9" w:rsidP="005011C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4"/>
          <w:lang w:val="ru"/>
        </w:rPr>
      </w:pPr>
    </w:p>
    <w:p w:rsidR="00DF292E" w:rsidRPr="005011C9" w:rsidRDefault="00DF292E" w:rsidP="005011C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Конституция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Российской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Федерации.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-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М.: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Юридическая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литература,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1994.</w:t>
      </w:r>
    </w:p>
    <w:p w:rsidR="00DF292E" w:rsidRPr="005011C9" w:rsidRDefault="00DF292E" w:rsidP="005011C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Гражданский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кодекс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Российской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Федерации,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ч.2.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-М.,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1996.</w:t>
      </w:r>
    </w:p>
    <w:p w:rsidR="00DF292E" w:rsidRPr="005011C9" w:rsidRDefault="00DF292E" w:rsidP="005011C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Федеральный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закон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15.07.2002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«О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Центральном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Российской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Федерации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(Банке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России)».</w:t>
      </w:r>
    </w:p>
    <w:p w:rsidR="00DF292E" w:rsidRPr="005011C9" w:rsidRDefault="00DF292E" w:rsidP="005011C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Федеральный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закон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от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03.02.1996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«О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банках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банковской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деятельности».</w:t>
      </w:r>
    </w:p>
    <w:p w:rsidR="00DF292E" w:rsidRPr="005011C9" w:rsidRDefault="00DF292E" w:rsidP="005011C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Банковское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дело.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Учебник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/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Под.ред.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Е.Ф.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Жукова.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-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М.: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ЮНИТИ,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2009.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-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456-473.</w:t>
      </w:r>
    </w:p>
    <w:p w:rsidR="00DF292E" w:rsidRPr="005011C9" w:rsidRDefault="00DF292E" w:rsidP="005011C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Клумфшид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А.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Как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взять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кредит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банке.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-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М.: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ИНФРА-М,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1997.</w:t>
      </w:r>
    </w:p>
    <w:p w:rsidR="00DF292E" w:rsidRPr="005011C9" w:rsidRDefault="00DF292E" w:rsidP="005011C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ДжозлинР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В.,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ХамфризД.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К.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Банковский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маркетинг: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Введение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рыночное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планирование/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Пер.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анг.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-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М.,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1995.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-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С.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76.</w:t>
      </w:r>
    </w:p>
    <w:p w:rsidR="00DF292E" w:rsidRPr="005011C9" w:rsidRDefault="00DF292E" w:rsidP="005011C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Самуэльсон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П.А.,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Нордхаус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В.Д.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Экономика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8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изд.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-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М,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2010.</w:t>
      </w:r>
    </w:p>
    <w:p w:rsidR="00DF292E" w:rsidRDefault="00DF292E" w:rsidP="005011C9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  <w:lang w:val="ru"/>
        </w:rPr>
      </w:pPr>
      <w:r w:rsidRPr="005011C9">
        <w:rPr>
          <w:rFonts w:ascii="Times New Roman" w:hAnsi="Times New Roman"/>
          <w:sz w:val="28"/>
          <w:szCs w:val="24"/>
          <w:lang w:val="ru"/>
        </w:rPr>
        <w:t>Харрис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Л.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Денежная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теория.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-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М.: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Прогресс.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  <w:r w:rsidRPr="005011C9">
        <w:rPr>
          <w:rFonts w:ascii="Times New Roman" w:hAnsi="Times New Roman"/>
          <w:sz w:val="28"/>
          <w:szCs w:val="24"/>
          <w:lang w:val="ru"/>
        </w:rPr>
        <w:t>1999.</w:t>
      </w:r>
      <w:r w:rsidR="005011C9">
        <w:rPr>
          <w:rFonts w:ascii="Times New Roman" w:hAnsi="Times New Roman"/>
          <w:sz w:val="28"/>
          <w:szCs w:val="24"/>
          <w:lang w:val="ru"/>
        </w:rPr>
        <w:t xml:space="preserve"> </w:t>
      </w:r>
    </w:p>
    <w:p w:rsidR="00C77CDC" w:rsidRDefault="00C77CDC" w:rsidP="00C77CDC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val="ru"/>
        </w:rPr>
      </w:pPr>
    </w:p>
    <w:p w:rsidR="00C77CDC" w:rsidRPr="008B7473" w:rsidRDefault="00C77CDC" w:rsidP="00C77CDC">
      <w:pPr>
        <w:jc w:val="both"/>
        <w:rPr>
          <w:color w:val="FFFFFF"/>
          <w:sz w:val="28"/>
          <w:szCs w:val="28"/>
          <w:lang w:val="en-US"/>
        </w:rPr>
      </w:pPr>
    </w:p>
    <w:p w:rsidR="00C77CDC" w:rsidRPr="00C77CDC" w:rsidRDefault="00C77CDC" w:rsidP="00C77CDC">
      <w:pPr>
        <w:spacing w:after="0" w:line="360" w:lineRule="auto"/>
        <w:jc w:val="both"/>
        <w:rPr>
          <w:rFonts w:ascii="Times New Roman" w:hAnsi="Times New Roman"/>
          <w:sz w:val="28"/>
          <w:szCs w:val="24"/>
          <w:lang w:val="ru"/>
        </w:rPr>
      </w:pPr>
      <w:bookmarkStart w:id="0" w:name="_GoBack"/>
      <w:bookmarkEnd w:id="0"/>
    </w:p>
    <w:sectPr w:rsidR="00C77CDC" w:rsidRPr="00C77CDC" w:rsidSect="005011C9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635" w:rsidRDefault="00AF2635" w:rsidP="00DF292E">
      <w:pPr>
        <w:spacing w:after="0" w:line="240" w:lineRule="auto"/>
      </w:pPr>
      <w:r>
        <w:separator/>
      </w:r>
    </w:p>
  </w:endnote>
  <w:endnote w:type="continuationSeparator" w:id="0">
    <w:p w:rsidR="00AF2635" w:rsidRDefault="00AF2635" w:rsidP="00DF2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92E" w:rsidRDefault="00DF292E">
    <w:pPr>
      <w:pStyle w:val="a6"/>
      <w:jc w:val="center"/>
    </w:pPr>
  </w:p>
  <w:p w:rsidR="00DF292E" w:rsidRDefault="00DF29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635" w:rsidRDefault="00AF2635" w:rsidP="00DF292E">
      <w:pPr>
        <w:spacing w:after="0" w:line="240" w:lineRule="auto"/>
      </w:pPr>
      <w:r>
        <w:separator/>
      </w:r>
    </w:p>
  </w:footnote>
  <w:footnote w:type="continuationSeparator" w:id="0">
    <w:p w:rsidR="00AF2635" w:rsidRDefault="00AF2635" w:rsidP="00DF2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CDC" w:rsidRPr="00C77CDC" w:rsidRDefault="00C77CDC" w:rsidP="00C77CDC">
    <w:pPr>
      <w:pStyle w:val="a4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87CCC"/>
    <w:multiLevelType w:val="hybridMultilevel"/>
    <w:tmpl w:val="4B06B8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2B2BC2"/>
    <w:multiLevelType w:val="hybridMultilevel"/>
    <w:tmpl w:val="E94C9F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7B01E2"/>
    <w:multiLevelType w:val="multilevel"/>
    <w:tmpl w:val="DAC8D96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7501274"/>
    <w:multiLevelType w:val="hybridMultilevel"/>
    <w:tmpl w:val="BD866DF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891224"/>
    <w:multiLevelType w:val="hybridMultilevel"/>
    <w:tmpl w:val="D444B582"/>
    <w:lvl w:ilvl="0" w:tplc="2390C56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8160BA5"/>
    <w:multiLevelType w:val="hybridMultilevel"/>
    <w:tmpl w:val="BF965A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377B8B"/>
    <w:multiLevelType w:val="hybridMultilevel"/>
    <w:tmpl w:val="B1CECA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094AB0"/>
    <w:multiLevelType w:val="hybridMultilevel"/>
    <w:tmpl w:val="9DE012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3054E3"/>
    <w:multiLevelType w:val="hybridMultilevel"/>
    <w:tmpl w:val="869EDC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3909D4"/>
    <w:multiLevelType w:val="hybridMultilevel"/>
    <w:tmpl w:val="D7AC8FFE"/>
    <w:lvl w:ilvl="0" w:tplc="B8B453D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466F525D"/>
    <w:multiLevelType w:val="hybridMultilevel"/>
    <w:tmpl w:val="5BFEB5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EDD156F"/>
    <w:multiLevelType w:val="hybridMultilevel"/>
    <w:tmpl w:val="3140EB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004754"/>
    <w:multiLevelType w:val="hybridMultilevel"/>
    <w:tmpl w:val="6324C2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D177AB"/>
    <w:multiLevelType w:val="hybridMultilevel"/>
    <w:tmpl w:val="F4F4F9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8"/>
  </w:num>
  <w:num w:numId="6">
    <w:abstractNumId w:val="4"/>
  </w:num>
  <w:num w:numId="7">
    <w:abstractNumId w:val="11"/>
  </w:num>
  <w:num w:numId="8">
    <w:abstractNumId w:val="9"/>
  </w:num>
  <w:num w:numId="9">
    <w:abstractNumId w:val="13"/>
  </w:num>
  <w:num w:numId="10">
    <w:abstractNumId w:val="12"/>
  </w:num>
  <w:num w:numId="11">
    <w:abstractNumId w:val="1"/>
  </w:num>
  <w:num w:numId="12">
    <w:abstractNumId w:val="0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B7B"/>
    <w:rsid w:val="000A7E11"/>
    <w:rsid w:val="00217EF1"/>
    <w:rsid w:val="00282379"/>
    <w:rsid w:val="00294A09"/>
    <w:rsid w:val="005011C9"/>
    <w:rsid w:val="007D4CD7"/>
    <w:rsid w:val="007E4B72"/>
    <w:rsid w:val="008A0B0D"/>
    <w:rsid w:val="008B7473"/>
    <w:rsid w:val="00934DB0"/>
    <w:rsid w:val="00A247D2"/>
    <w:rsid w:val="00AF2635"/>
    <w:rsid w:val="00C77CDC"/>
    <w:rsid w:val="00DA2B7B"/>
    <w:rsid w:val="00DF292E"/>
    <w:rsid w:val="00F04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698B68-B0F8-4F06-BE3A-B4F9295B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DB0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92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2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DF292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F2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DF292E"/>
    <w:rPr>
      <w:rFonts w:cs="Times New Roman"/>
    </w:rPr>
  </w:style>
  <w:style w:type="character" w:styleId="a8">
    <w:name w:val="Hyperlink"/>
    <w:uiPriority w:val="99"/>
    <w:rsid w:val="00C77CD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3112</Words>
  <Characters>17741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Гаитбек</dc:creator>
  <cp:keywords/>
  <dc:description/>
  <cp:lastModifiedBy>admin</cp:lastModifiedBy>
  <cp:revision>2</cp:revision>
  <dcterms:created xsi:type="dcterms:W3CDTF">2014-03-26T18:15:00Z</dcterms:created>
  <dcterms:modified xsi:type="dcterms:W3CDTF">2014-03-26T18:15:00Z</dcterms:modified>
</cp:coreProperties>
</file>