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7E4BD1" w:rsidRDefault="007E4BD1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A977D7">
        <w:rPr>
          <w:b/>
          <w:bCs/>
          <w:sz w:val="28"/>
          <w:szCs w:val="28"/>
        </w:rPr>
        <w:t>ОРГАНЫ СУДЕБНОГО САМОУПРАВЛЕНИЯ</w:t>
      </w:r>
    </w:p>
    <w:p w:rsidR="006E7B50" w:rsidRPr="006E7B50" w:rsidRDefault="006E7B50" w:rsidP="006E7B50">
      <w:pPr>
        <w:rPr>
          <w:color w:val="FFFFFF"/>
          <w:sz w:val="28"/>
          <w:szCs w:val="28"/>
        </w:rPr>
      </w:pPr>
      <w:r w:rsidRPr="006E7B50">
        <w:rPr>
          <w:color w:val="FFFFFF"/>
          <w:sz w:val="28"/>
          <w:szCs w:val="28"/>
        </w:rPr>
        <w:t>суд самоуправление совет коллегия</w:t>
      </w:r>
    </w:p>
    <w:p w:rsid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7E4BD1" w:rsidRPr="00A977D7" w:rsidRDefault="00A977D7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E4BD1" w:rsidRPr="00A977D7">
        <w:rPr>
          <w:b/>
          <w:bCs/>
          <w:sz w:val="28"/>
          <w:szCs w:val="28"/>
        </w:rPr>
        <w:t>Понятие и развитие судейского самоуправления</w:t>
      </w:r>
    </w:p>
    <w:p w:rsidR="007E4BD1" w:rsidRPr="00A977D7" w:rsidRDefault="007E4BD1" w:rsidP="00A977D7">
      <w:pPr>
        <w:keepNext/>
        <w:numPr>
          <w:ilvl w:val="12"/>
          <w:numId w:val="0"/>
        </w:numPr>
        <w:suppressAutoHyphens/>
        <w:spacing w:line="360" w:lineRule="auto"/>
        <w:rPr>
          <w:b/>
          <w:bCs/>
          <w:sz w:val="28"/>
          <w:szCs w:val="28"/>
        </w:rPr>
      </w:pP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Судейское самоуправление – это решение вопросов внутренней жизни судейского корпуса через выборные органы или непосредственно коллективами. В первую очередь, это активное участие в формировании судейского корпуса, контроль за выполнением судьями их обязанностей по осуществлению правосудия и вне службы, представление интересов судей в государственных органах и общественных объединениях и т.п.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rPr>
          <w:b/>
          <w:bCs/>
          <w:sz w:val="28"/>
          <w:szCs w:val="28"/>
        </w:rPr>
      </w:pPr>
    </w:p>
    <w:p w:rsidR="007E4BD1" w:rsidRPr="00A977D7" w:rsidRDefault="007E4BD1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A977D7">
        <w:rPr>
          <w:b/>
          <w:bCs/>
          <w:sz w:val="28"/>
          <w:szCs w:val="28"/>
        </w:rPr>
        <w:t>Съезд судей и Республиканский совет судей Республики Беларусь</w:t>
      </w:r>
    </w:p>
    <w:p w:rsidR="007E4BD1" w:rsidRPr="00A977D7" w:rsidRDefault="007E4BD1" w:rsidP="00A977D7">
      <w:pPr>
        <w:keepNext/>
        <w:numPr>
          <w:ilvl w:val="12"/>
          <w:numId w:val="0"/>
        </w:numPr>
        <w:suppressAutoHyphens/>
        <w:spacing w:line="360" w:lineRule="auto"/>
        <w:rPr>
          <w:b/>
          <w:bCs/>
          <w:sz w:val="28"/>
          <w:szCs w:val="28"/>
        </w:rPr>
      </w:pP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 соответствии со ст. 69 Закона о судоустройстве и статусе судей высшим республиканским органом самоуправления судей в Республике Беларусь признавалась конференция судей Республики Беларусь. Декретом Президента Республики Беларусь № 20 от 21 октября 1997</w:t>
      </w:r>
      <w:r w:rsidRPr="00A977D7">
        <w:rPr>
          <w:sz w:val="28"/>
          <w:szCs w:val="28"/>
          <w:lang w:val="en-US"/>
        </w:rPr>
        <w:t> </w:t>
      </w:r>
      <w:r w:rsidRPr="00A977D7">
        <w:rPr>
          <w:sz w:val="28"/>
          <w:szCs w:val="28"/>
        </w:rPr>
        <w:t>г. в качестве высшего органа самоуправления судей страны был объявлен съезд судей Республики Беларусь.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Съезд судей осуществляет свои полномочия в составе судей Конституционного суда, общих и хозяйственных судов республики.</w:t>
      </w:r>
    </w:p>
    <w:p w:rsidR="007E4BD1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Съезд судей рассматривает вопросы деятельности судебной системы, обсуждает вопросы судебной практики и в необходимых случаях вносит предложения органам и лицам, обладающим правом законодательной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инициативы; проводит обсуждение проектов законов и иных нормативных актов, касающихся статуса судей, кадрового, организационного, материально-технического обеспечения работы судов и других вопросов их деятельности; представляет интересы судей в государственных органах, общественных объединениях и международных организациях; избирает из числа судей Республиканский совет судей в составе, определяемом съездом, а также осуществляет иные полномочия,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предусмотренные законодательством.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Съезд судей созывается Республиканским советом судей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не реже одного раза в четыре года. В период между съездами судей полномочия съезда осуществляет Республиканский совет судей. Съезд считается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правомочным при условии участия в его работе не менее двух третей всех судей Республики Беларусь. Решения считаются принятыми, если за их проголосовало более половины присутствующих на съезде.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Материально-техническое и иное обеспечение съездов судей Республики Беларусь возложено на Совет Министров Республики Беларусь или в порядке, им определяемом. Как уже отмечалось первый съезд судей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Республики Беларусь состоялся 5 декабря 1997</w:t>
      </w:r>
      <w:r w:rsidRPr="00A977D7">
        <w:rPr>
          <w:sz w:val="28"/>
          <w:szCs w:val="28"/>
          <w:lang w:val="en-US"/>
        </w:rPr>
        <w:t> </w:t>
      </w:r>
      <w:r w:rsidRPr="00A977D7">
        <w:rPr>
          <w:sz w:val="28"/>
          <w:szCs w:val="28"/>
        </w:rPr>
        <w:t>г. В его работе приняли участие 956 судей Республики Беларусь, Президент Республики Беларусь, Премьер-министр, Глава Администрации Президента, Государственный секретарь Совета Безопасности Республики Беларусь и многие другие ответственные должностные лица государственного аппарата республики, а также представители судейского корпуса Российской Федерации, Украины и Республики Молдова.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Съезд открыл и выступил на нем с докладом “Становление системы общих судов в Республике Беларусь: достижения, проблемы, перспективы” Председатель Верховного Суда Республики Беларусь Сукало В.О. С большой речью “Права и интересы граждан и государства должны быть надежно защищены” выступил Президент Республики Беларусь Лукашенко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А.Г..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Съезд утвердил Положение о Республиканском совете судей и избрал его первый состав, поручив подготовить ему проект Закона Республики Беларусь “Об органах судейского самоуправления”, принял Кодекс чести судьи Республики Беларусь и Резолюцию первого съезда. Словом, первый съезд судей Республики Беларусь имеет историческое значение для развития судебной системы республики, совершенствования национального правосудия, и, в частности, оказал активное влияние на процессы, связанные с формированием судейского сообщества и его органов, повышение статуса судьи.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Республиканский совет судей избирается съездом судей сроком на четыре года из числа судей Конституционного суда, общих и хозяйственных судов. Количественный состав совета и норма представительства в нем судей соответствующих судов определяются съездом судей. Так, на первом съезде судей было установлено, что Республиканский совет судей состоит из 26 судей, из них 2 члена – судьи Конституционного Суда, 17 членов – судьи общих судов (в том числе 1 – от военных судов), 7 членов – судьи хозяйственных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Согласно ст. 4 Положения о Республиканском совете судей в его состав могут быть избраны судьи, имеющие, как правило, стаж работы в должности судьи не менее 3 лет. Судья не может быть избран одновременно в Республиканский совет судей и квалификационную коллегию судей Верховного Суда или квалификационную коллегию судей хозяйственных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Республиканский совет судей осуществляет свою деятельность коллегиально и гласно. Основными его задачами являются: соблюдение и укрепление законности в деятельности судов и судей, утверждение авторитета судебной власти; обеспечение соблюдения судьями в их профессиональной деятельности и личном поведении требований, предъявляемых к ним Конституцией, иными актами законодательства, Кодексом чести судьи Республики Беларусь.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Республиканский совет судей имеет своей задачей защиту прав и законных интересов судей, включая гарантии их независимости и неприкосновенности. Он обсуждает проекты законов и иных нормативных актов, касающихся организационного, кадрового и материально-технического обеспечения деятельности судов. Одной из главных задач этого органа судейского самоуправления является содействие проведению судебно-правовой реформы в Республике Беларусь, совершенствованию судебной системы и судопроизводства.</w:t>
      </w:r>
    </w:p>
    <w:p w:rsid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 целях осуществления перечисленных задач Республиканский совет судей: обсуждает вопросы судебной практики и совершенствования законодательства; проводит общественную экспертизу проектов законов и иных нормативных актов, касающихся устройства судебной системы, судопроизводства, деятельности судов, статуса судей и представляет свои заключения в соответствующие государственные органы; рассматривает и решает в пределах своей компетенции актуальные проблемы работы судов, их организационного, кадрового и материально-технического обеспечения, а также правового, материального и социального положения судей; обращается к субъектам права законодательной инициативы, в иные государственные органы с предложениями о принятии новых либо изменении и дополнении действующих актов законодательства; представляет интересы судей в государственных органах, общественных объединениях и международных организациях; созывает съезды судей с согласия Президента Республики Беларусь; проводит работу с судьями-ветеранами; утверждает регламент Республиканского совета судей и обсуждает иные вопросы деятельности судов и организации самоуправления судей.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Республиканский совет судей вправе запрашивать и получать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от государственных органов сведения, касающиеся организационного, кадрового и материально-технического обеспечения деятельности соответствующих судов, а также иную информацию, необходимую для его работы.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Республиканский совет судей созывается по мере необходимости, но не реже двух раз в год. Его заседания считаются правомочными при условии присутствия на нем более половины судей, избранных в состав совета. Решения принимаются простым большинством от числа судей, принимавших участие в заседании совета.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 xml:space="preserve">В Республиканском совете судей создаются секции Конституционного Суда, общих и хозяйственных судов. Кроме того, в совете могут быть образованы постоянные и временные комиссии, в состав которых могут входить судьи, не являющиеся членами совета, а также должностные лица иных государственных органов. 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Председатель Республиканского совета судей и его заместители (по одному из числа судей Конституционного суда, общих и хозяйственных судов – членов совета) избираются советом и ему подчинены. Заместители председателя Совета являются одновременно председателями соответствующих секций Совета.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Председатель Республиканского совета судей проводит заседания совета, организует и руководит его деятельностью, представляет совет в государственных органах, общественных объединениях и международных организациях. Полномочия председателя Совета по его поручению может выполнять один из его заместителей.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Республиканский совет судей осуществляет свою деятельность во взаимодействии с Конституционным судом, Верховным Судом, Высшим Хозяйственным Судом и Министерством юстиции, которые оказывают ему необходимую помощь. Члены Совета могут по приглашению председателей соответствующих судов присутствовать на заседаниях Пленумов Верховного и Высшего Хозяйственного судов, а также на заседаниях Конституционного Суда.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 работе Республиканского совета судей вправе по должности принимать участие Председатель Конституционного Суда, Председатель Верховного Суда, Председатель Высшего Хозяйственного Суда и их заместители с правом совещательного голоса, если не избраны в состав совета. На заседании Совета могут присутствовать судьи судов Республики Беларусь.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7E4BD1" w:rsidRPr="00A977D7" w:rsidRDefault="007E4BD1" w:rsidP="00A977D7">
      <w:pPr>
        <w:keepNext/>
        <w:numPr>
          <w:ilvl w:val="12"/>
          <w:numId w:val="0"/>
        </w:num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A977D7">
        <w:rPr>
          <w:b/>
          <w:bCs/>
          <w:sz w:val="28"/>
          <w:szCs w:val="28"/>
        </w:rPr>
        <w:t>Конференции и квалификационные коллегии судей</w:t>
      </w:r>
    </w:p>
    <w:p w:rsidR="007E4BD1" w:rsidRPr="00A977D7" w:rsidRDefault="007E4BD1" w:rsidP="00A977D7">
      <w:pPr>
        <w:keepNext/>
        <w:numPr>
          <w:ilvl w:val="12"/>
          <w:numId w:val="0"/>
        </w:numPr>
        <w:suppressAutoHyphens/>
        <w:spacing w:line="360" w:lineRule="auto"/>
        <w:rPr>
          <w:b/>
          <w:bCs/>
          <w:sz w:val="28"/>
          <w:szCs w:val="28"/>
        </w:rPr>
      </w:pP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Важное место в системе органов судейского самоуправления отводится конференциям и квалификационным коллегиям судей, полномочия и порядок организации которых определяются ст.ст. 69-71 Закона о судоустройстве и статусе судей и Положениями о квалификационных коллегиях судей судов Республики Беларусь и о квалификационной аттестации и квалификационных классах судей судов Республики Беларусь от 4 декабря 1997 г.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Судьи районных (городских), областных, Минского городского, военных и хозяйственных судов собираются на областные, Минскую городскую конференцию, которые: обсуждают вопросы судебной практики и вносят предложения по совершенствованию законодательства; проводят общественную экспертизу проектов законов и иных нормативных актов, касающихся судебной деятельности и статуса судей; рассматривают актуальные проблемы работы судов, их кадрового, организационного обеспечения, а также правового и социального статуса судей; представляют интересы судей в государственных органах и общественных объединениях.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Конференции, кроме того, избирают квалификационные коллегии судей областных, Минского городского, районных (городских), военных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 соответствии со ст. 2 Положения о квалификационных коллегиях судей последние образуются в целях поддержания высоких профессиональных и моральных стандартов среди судей, усиления гарантий их независимости и высокого престижа судейского труда.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 республике создаются квалификационные коллегии: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судей Верховного Суда;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977D7">
        <w:rPr>
          <w:sz w:val="28"/>
          <w:szCs w:val="28"/>
        </w:rPr>
        <w:t>судей областных (Минского городского), районных (городских) судов, т.е. квалификационные коллегии судей областей (г. Минска).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977D7">
        <w:rPr>
          <w:sz w:val="28"/>
          <w:szCs w:val="28"/>
        </w:rPr>
        <w:t>судей Белорусского военного суда и межгарнизонных военных судов, т.е. квалификационная коллегия судей военных судов;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977D7">
        <w:rPr>
          <w:sz w:val="28"/>
          <w:szCs w:val="28"/>
        </w:rPr>
        <w:t>судей хозяйственных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Квалификационная коллегия судей Верховного Суда избирается на Пленуме этого суда из числа его членов. Квалификационная коллегия судей областей (г. Минска) и судей военных судов избираются на конференциях судей соответствующих судов из числа судей этих судов. Квалификационная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коллегия судей хозяйственных судов избирается на Пленуме Высшего Хозяйственного Суда из числа судей хозяйственных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Количественный состав коллегий судей, норма представительства в них судей нижестоящих судов, а также порядок голосования определяются соответствующими пленумами судов и конференциями судей по согласованию с Министерством юстиции.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 состав квалификационных коллегий с правом решающего голоса включаются по одному представители соответствующих органов юстиции в порядке, определяемом Президентом Республики Беларусь.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Представители органов юстиции утверждаются приказом Министра юстиции в состав квалификационных коллегий: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судей Верховного Суда, судей военных судов – по согласованию с Председателем Верховного Суда из числа членов коллегии Министерства юстиции;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977D7">
        <w:rPr>
          <w:sz w:val="28"/>
          <w:szCs w:val="28"/>
        </w:rPr>
        <w:t>судей хозяйственных судов – по согласованию с Председателем Высшего Хозяйственного суда из числа членов коллегии Министерства юстиции;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977D7">
        <w:rPr>
          <w:sz w:val="28"/>
          <w:szCs w:val="28"/>
        </w:rPr>
        <w:t>судей областей (г. Минска) – из числа руководителей подразделений юстиции соответствующих местных исполкомов или их заместителей;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Представители органов юстиции в квалификационных коллегиях судей осуществляют свои полномочия в течение срока действия соответствующих коллегий.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Квалификационные коллегии судей формируются сроком на три года (ранее по Закону о судоустройству и статусе судей 1995 г. – на пять лет) и отчитываются перед соответствующими пленумами судов и конференциями судей не реже одного раза в год, а также по окончании полномочий.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Как и прежде, в состав квалификационных коллегий не могут быть избраны председатели судов и их заместители, кроме председателей районных (городских) и межгарнизонных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военных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Председатель квалификационной коллегии судей и его заместитель избираются на соответствующем пленуме судов и конференции судей при избрании коллегии.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Квалификационные коллегии судей наделены широкими полномочиями: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утверждают персональный состав экзаменационных комиссий по приему квалификационных экзаменов у лиц, претендующих на должность судей;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совместно с председателями соответствующих судов определяют порядок подготовки и проведения квалификационных экзаменов; причем, судьи, входящие в состав квалификационных коллегий, не могут являться членами экзаменационных комиссий;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рассматривают заявления лиц, претендующих на должности судей, и с учетом результатов квалификационного экзамена дают заключения о рекомендации этих лиц либо об отказе в ней;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направляют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председателю соответствующего суда заключения: о возможности назначения лица на должность судьи; о возможности назначения на должности председателя или заместителя председателя суда (кроме Председателя Верховного Суда и Председателя Высшего Хозяйственного Суда), а также об освобождении от этих должностей; о возможности приостановления или прекращения полномочий судьи;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проводят квалификационную аттестацию судей и принимают решения о присвоении им квалификационных классов;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рассматривают вопросы о дисциплинарной ответственности судей;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выступают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в защиту чести, достоинства, прав и законных интересов судей;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дают заключения по вопросам, связанным с возбуждением в отношении судьи уголовного дела, привлечением его к уголовной ответственности, освобождением от должности, приостановлением полномочий судьи, признанием его находящимся в отставке по основаниям, предусмотренным законодательством;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рассматривают жалобы и представления на действия судьи, умаляющие авторитет судебной власти, либо на его бездействие;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дают заключения по вопросам представления судей к государственным наградам и присвоения им почетных званий Республики Беларусь;</w:t>
      </w:r>
    </w:p>
    <w:p w:rsidR="007E4BD1" w:rsidRPr="00A977D7" w:rsidRDefault="007E4BD1" w:rsidP="00A977D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осуществляют иные полномочия, предусмотренные законодательством.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Квалификационная коллегия судей Верховного Суда осуществляет соответствующие полномочия в отношении судей Верховного Суда; судей, входящих в состав квалификационных коллегий судей областей (г. Минска) и военных судов; председателей и заместителей председателей областных (Минского городского) и Белорусского военного судов. Кроме того, указанная квалификационная коллегия рассматривает жалобы и представления на решения квалификационных коллегий судей областей (г. Минска) и военных судов.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Лица, входящие в состав квалификационных коллегий судей, освобождаются от выполнения своих служебных обязанностей на период подготовки вопросов и участия в заседаниях коллегий с сохранением заработной платы.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Заявления, обращения, представления, иные материалы, поступившие в квалификационную коллегию судей и относящиеся к ее компетенции, должны быть рассмотрены в течение месяца со дня их поступления, не считая времени отсутствия по уважительной причине судьи, в отношении которого решается вопрос. При необходимости дополнительной проверки поступивших материалов срок их рассмотрения может быть продлен, но не более чем на 15 дней.</w:t>
      </w:r>
      <w:r w:rsidR="00A977D7">
        <w:rPr>
          <w:sz w:val="28"/>
          <w:szCs w:val="28"/>
        </w:rPr>
        <w:t xml:space="preserve"> </w:t>
      </w:r>
      <w:r w:rsidRPr="00A977D7">
        <w:rPr>
          <w:sz w:val="28"/>
          <w:szCs w:val="28"/>
        </w:rPr>
        <w:t>Квалификационная коллегия судей дает заключение или принимает решение большинством голосов участвующих в заседании членов коллегии. Копия заключения или решения направляется заинтересованным лицам в течение трех дней после провозглашения заключения или решения.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>Заключения и решения квалификационной коллегии судей по вопросам назначения на должности судьи, председателя, заместителя председателя суда, представления судьи к государственной награде или присвоению почетного звания, присвоения квалификационного класса обжалованию не подлежит. Решения и заключения квалификационных коллегий судей областей (г. Минска) и военных судов по другим вопросам могут быть обжалованы в квалификационную коллегию судей Верховного Суда, решение которой является окончательным. Решения и заключения квалификационной коллегии судей Верховного Суда, принимаемые в отношении лиц ее ведения, и квалификационной коллегии судей хозяйственных судов могут быть обжалованы соответственно в Пленум Верховного Суда и Пленум Высшего Хозяйственного Суда.</w:t>
      </w:r>
    </w:p>
    <w:p w:rsidR="007E4BD1" w:rsidRPr="00A977D7" w:rsidRDefault="007E4BD1" w:rsidP="00A977D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A977D7">
        <w:rPr>
          <w:sz w:val="28"/>
          <w:szCs w:val="28"/>
        </w:rPr>
        <w:t xml:space="preserve">Организационное и материально-техническое обеспечение деятельности квалификационных коллегий судей возлагается на соответствующие суды и органы юстиции. </w:t>
      </w:r>
    </w:p>
    <w:p w:rsidR="00162C83" w:rsidRDefault="00162C83" w:rsidP="00A977D7">
      <w:pPr>
        <w:spacing w:line="360" w:lineRule="auto"/>
        <w:rPr>
          <w:sz w:val="28"/>
          <w:szCs w:val="28"/>
        </w:rPr>
      </w:pPr>
    </w:p>
    <w:p w:rsidR="00A977D7" w:rsidRPr="00A977D7" w:rsidRDefault="00A977D7" w:rsidP="00A977D7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977D7" w:rsidRPr="00A977D7" w:rsidSect="00A977D7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EF" w:rsidRDefault="002B50EF">
      <w:r>
        <w:separator/>
      </w:r>
    </w:p>
  </w:endnote>
  <w:endnote w:type="continuationSeparator" w:id="0">
    <w:p w:rsidR="002B50EF" w:rsidRDefault="002B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D1" w:rsidRPr="00A977D7" w:rsidRDefault="00ED7930" w:rsidP="008013A3">
    <w:pPr>
      <w:pStyle w:val="a6"/>
      <w:framePr w:wrap="auto" w:vAnchor="text" w:hAnchor="margin" w:xAlign="right" w:y="1"/>
      <w:rPr>
        <w:rStyle w:val="a8"/>
        <w:sz w:val="24"/>
        <w:szCs w:val="24"/>
      </w:rPr>
    </w:pPr>
    <w:r>
      <w:rPr>
        <w:rStyle w:val="a8"/>
        <w:noProof/>
        <w:sz w:val="24"/>
        <w:szCs w:val="24"/>
      </w:rPr>
      <w:t>1</w:t>
    </w:r>
  </w:p>
  <w:p w:rsidR="007E4BD1" w:rsidRDefault="007E4BD1" w:rsidP="007E4B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EF" w:rsidRDefault="002B50EF">
      <w:r>
        <w:separator/>
      </w:r>
    </w:p>
  </w:footnote>
  <w:footnote w:type="continuationSeparator" w:id="0">
    <w:p w:rsidR="002B50EF" w:rsidRDefault="002B5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D7" w:rsidRPr="00A977D7" w:rsidRDefault="00A977D7" w:rsidP="00A977D7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48584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BD1"/>
    <w:rsid w:val="00162C83"/>
    <w:rsid w:val="002B50EF"/>
    <w:rsid w:val="002B7B66"/>
    <w:rsid w:val="006E7B50"/>
    <w:rsid w:val="007E4BD1"/>
    <w:rsid w:val="008013A3"/>
    <w:rsid w:val="009A2385"/>
    <w:rsid w:val="00A14CF0"/>
    <w:rsid w:val="00A977D7"/>
    <w:rsid w:val="00C9396C"/>
    <w:rsid w:val="00E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18084C-9B0C-4429-91FF-E7F750F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D1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E4BD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7E4BD1"/>
    <w:rPr>
      <w:vertAlign w:val="superscript"/>
    </w:rPr>
  </w:style>
  <w:style w:type="paragraph" w:styleId="a6">
    <w:name w:val="footer"/>
    <w:basedOn w:val="a"/>
    <w:link w:val="a7"/>
    <w:uiPriority w:val="99"/>
    <w:rsid w:val="007E4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7E4BD1"/>
  </w:style>
  <w:style w:type="paragraph" w:styleId="a9">
    <w:name w:val="header"/>
    <w:basedOn w:val="a"/>
    <w:link w:val="aa"/>
    <w:uiPriority w:val="99"/>
    <w:rsid w:val="00A97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2</cp:revision>
  <dcterms:created xsi:type="dcterms:W3CDTF">2014-03-24T14:01:00Z</dcterms:created>
  <dcterms:modified xsi:type="dcterms:W3CDTF">2014-03-24T14:01:00Z</dcterms:modified>
</cp:coreProperties>
</file>