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4A" w:rsidRPr="00523F4A" w:rsidRDefault="00523F4A" w:rsidP="00523F4A">
      <w:pPr>
        <w:widowControl w:val="0"/>
        <w:autoSpaceDE w:val="0"/>
        <w:autoSpaceDN w:val="0"/>
        <w:adjustRightInd w:val="0"/>
      </w:pPr>
    </w:p>
    <w:p w:rsidR="00CF337E" w:rsidRDefault="00CF337E" w:rsidP="00CF337E">
      <w:pPr>
        <w:pStyle w:val="af8"/>
        <w:rPr>
          <w:lang w:val="uk-UA"/>
        </w:rPr>
      </w:pPr>
    </w:p>
    <w:p w:rsidR="00CF337E" w:rsidRDefault="00CF337E" w:rsidP="00CF337E">
      <w:pPr>
        <w:pStyle w:val="af8"/>
        <w:rPr>
          <w:lang w:val="uk-UA"/>
        </w:rPr>
      </w:pPr>
    </w:p>
    <w:p w:rsidR="00CF337E" w:rsidRDefault="00CF337E" w:rsidP="00CF337E">
      <w:pPr>
        <w:pStyle w:val="af8"/>
        <w:rPr>
          <w:lang w:val="uk-UA"/>
        </w:rPr>
      </w:pPr>
    </w:p>
    <w:p w:rsidR="00CF337E" w:rsidRDefault="00CF337E" w:rsidP="00CF337E">
      <w:pPr>
        <w:pStyle w:val="af8"/>
        <w:rPr>
          <w:lang w:val="uk-UA"/>
        </w:rPr>
      </w:pPr>
    </w:p>
    <w:p w:rsidR="00CF337E" w:rsidRDefault="00CF337E" w:rsidP="00CF337E">
      <w:pPr>
        <w:pStyle w:val="af8"/>
        <w:rPr>
          <w:lang w:val="uk-UA"/>
        </w:rPr>
      </w:pPr>
    </w:p>
    <w:p w:rsidR="00CF337E" w:rsidRDefault="00CF337E" w:rsidP="00CF337E">
      <w:pPr>
        <w:pStyle w:val="af8"/>
        <w:rPr>
          <w:lang w:val="uk-UA"/>
        </w:rPr>
      </w:pPr>
    </w:p>
    <w:p w:rsidR="00CF337E" w:rsidRDefault="00CF337E" w:rsidP="00CF337E">
      <w:pPr>
        <w:pStyle w:val="af8"/>
        <w:rPr>
          <w:lang w:val="uk-UA"/>
        </w:rPr>
      </w:pPr>
    </w:p>
    <w:p w:rsidR="00CF337E" w:rsidRDefault="00CF337E" w:rsidP="00CF337E">
      <w:pPr>
        <w:pStyle w:val="af8"/>
        <w:rPr>
          <w:lang w:val="uk-UA"/>
        </w:rPr>
      </w:pPr>
    </w:p>
    <w:p w:rsidR="00CF337E" w:rsidRDefault="00CF337E" w:rsidP="00CF337E">
      <w:pPr>
        <w:pStyle w:val="af8"/>
        <w:rPr>
          <w:lang w:val="uk-UA"/>
        </w:rPr>
      </w:pPr>
    </w:p>
    <w:p w:rsidR="00CF337E" w:rsidRDefault="00CF337E" w:rsidP="00CF337E">
      <w:pPr>
        <w:pStyle w:val="af8"/>
        <w:rPr>
          <w:lang w:val="uk-UA"/>
        </w:rPr>
      </w:pPr>
    </w:p>
    <w:p w:rsidR="00CF337E" w:rsidRDefault="00CF337E" w:rsidP="00CF337E">
      <w:pPr>
        <w:pStyle w:val="af8"/>
        <w:rPr>
          <w:lang w:val="uk-UA"/>
        </w:rPr>
      </w:pPr>
    </w:p>
    <w:p w:rsidR="00CF337E" w:rsidRDefault="00CF337E" w:rsidP="00CF337E">
      <w:pPr>
        <w:pStyle w:val="af8"/>
        <w:rPr>
          <w:lang w:val="uk-UA"/>
        </w:rPr>
      </w:pPr>
    </w:p>
    <w:p w:rsidR="00841EFB" w:rsidRPr="00523F4A" w:rsidRDefault="00841EFB" w:rsidP="00CF337E">
      <w:pPr>
        <w:pStyle w:val="af8"/>
      </w:pPr>
      <w:r w:rsidRPr="00523F4A">
        <w:t>Реферат</w:t>
      </w:r>
      <w:r w:rsidR="00523F4A" w:rsidRPr="00523F4A">
        <w:t xml:space="preserve">: </w:t>
      </w:r>
    </w:p>
    <w:p w:rsidR="00523F4A" w:rsidRPr="00523F4A" w:rsidRDefault="00841EFB" w:rsidP="00CF337E">
      <w:pPr>
        <w:pStyle w:val="af8"/>
      </w:pPr>
      <w:r w:rsidRPr="00523F4A">
        <w:t>Основания и порядок возникновения права пользования</w:t>
      </w:r>
    </w:p>
    <w:p w:rsidR="00841EFB" w:rsidRPr="00523F4A" w:rsidRDefault="003233E5" w:rsidP="00CF337E">
      <w:pPr>
        <w:pStyle w:val="1"/>
      </w:pPr>
      <w:r>
        <w:br w:type="page"/>
      </w:r>
      <w:r w:rsidR="00841EFB" w:rsidRPr="00523F4A">
        <w:t>План</w:t>
      </w:r>
    </w:p>
    <w:p w:rsidR="003233E5" w:rsidRDefault="003233E5" w:rsidP="00523F4A">
      <w:pPr>
        <w:widowControl w:val="0"/>
        <w:autoSpaceDE w:val="0"/>
        <w:autoSpaceDN w:val="0"/>
        <w:adjustRightInd w:val="0"/>
        <w:rPr>
          <w:lang w:val="en-US"/>
        </w:rPr>
      </w:pP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Вступление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1</w:t>
      </w:r>
      <w:r w:rsidR="00523F4A" w:rsidRPr="00523F4A">
        <w:t xml:space="preserve">. </w:t>
      </w:r>
      <w:r w:rsidRPr="00523F4A">
        <w:t>Основания и порядок возникновения права пользования недрами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Вывод</w:t>
      </w:r>
    </w:p>
    <w:p w:rsidR="00523F4A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Литература</w:t>
      </w:r>
    </w:p>
    <w:p w:rsidR="00523F4A" w:rsidRPr="00523F4A" w:rsidRDefault="00523F4A" w:rsidP="00523F4A">
      <w:pPr>
        <w:widowControl w:val="0"/>
        <w:autoSpaceDE w:val="0"/>
        <w:autoSpaceDN w:val="0"/>
        <w:adjustRightInd w:val="0"/>
      </w:pPr>
    </w:p>
    <w:p w:rsidR="00841EFB" w:rsidRPr="00523F4A" w:rsidRDefault="003233E5" w:rsidP="003233E5">
      <w:pPr>
        <w:pStyle w:val="1"/>
      </w:pPr>
      <w:r>
        <w:br w:type="page"/>
      </w:r>
      <w:r w:rsidR="00841EFB" w:rsidRPr="00523F4A">
        <w:t>Вступление</w:t>
      </w:r>
    </w:p>
    <w:p w:rsidR="003233E5" w:rsidRDefault="003233E5" w:rsidP="00523F4A">
      <w:pPr>
        <w:widowControl w:val="0"/>
        <w:autoSpaceDE w:val="0"/>
        <w:autoSpaceDN w:val="0"/>
        <w:adjustRightInd w:val="0"/>
        <w:rPr>
          <w:lang w:val="en-US"/>
        </w:rPr>
      </w:pP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Недра предоставляются в пользование предприятиям, учреждениям, организациям и гражданам, лишь при наличии у них специального разрешения (лицензии</w:t>
      </w:r>
      <w:r w:rsidR="00523F4A" w:rsidRPr="00523F4A">
        <w:t xml:space="preserve">) </w:t>
      </w:r>
      <w:r w:rsidRPr="00523F4A">
        <w:t>на пользование участком недр</w:t>
      </w:r>
      <w:r w:rsidR="00523F4A" w:rsidRPr="00523F4A">
        <w:t xml:space="preserve">. </w:t>
      </w:r>
      <w:r w:rsidRPr="00523F4A">
        <w:t>Специальные разрешения в пределах конкретных участков предоставляются специализированным предприятиям, учреждениям и организациям, а также гражданам, которые имеют соответствующую квалификацию, материально-технические и экономические возможности для пользования недрами</w:t>
      </w:r>
      <w:r w:rsidR="00523F4A" w:rsidRPr="00523F4A">
        <w:t xml:space="preserve">. </w:t>
      </w:r>
      <w:r w:rsidRPr="00523F4A">
        <w:t>Лицензия выдается по заявлению субъекта предпринимательской деятельности с приданием копии учредительных документов</w:t>
      </w:r>
      <w:r w:rsidR="00523F4A" w:rsidRPr="00523F4A">
        <w:t xml:space="preserve">. </w:t>
      </w:r>
      <w:r w:rsidRPr="00523F4A">
        <w:t>Предоставление таких разрешений осуществляется после предыдущего согласования с соответствующим советом вопроса о предоставлении земельного участка для отмеченных потребностей, кроме случаев, когда в предоставлении земельного участка нет потребности</w:t>
      </w:r>
      <w:r w:rsidR="00523F4A" w:rsidRPr="00523F4A">
        <w:t xml:space="preserve">. </w:t>
      </w:r>
      <w:r w:rsidRPr="00523F4A">
        <w:t>Лицензии на пользование недрами предоставляет Министерство охраны окружающей естественной среды Украины по согласованию с соответствующими министерствами и ведомствами, как правило, на конкурсных принципах в порядке, установленном Кабинетом Министров Украины</w:t>
      </w:r>
      <w:r w:rsidR="00523F4A" w:rsidRPr="00523F4A">
        <w:t xml:space="preserve">. </w:t>
      </w:r>
      <w:r w:rsidRPr="00523F4A">
        <w:t>Решение о выдаче лицензии или отказ в ней предоставляется в течение не больше 30 дней от дня представления заявления и необходимых документов</w:t>
      </w:r>
      <w:r w:rsidR="00523F4A" w:rsidRPr="00523F4A">
        <w:t xml:space="preserve">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 xml:space="preserve">В лицензии отмечается название органа, который выдал ее, фамилия, имя, </w:t>
      </w:r>
      <w:r w:rsidR="00802FCC">
        <w:t>отчество</w:t>
      </w:r>
      <w:r w:rsidRPr="00523F4A">
        <w:t xml:space="preserve">, адрес </w:t>
      </w:r>
      <w:r w:rsidR="00802FCC">
        <w:t>проживания</w:t>
      </w:r>
      <w:r w:rsidRPr="00523F4A">
        <w:t xml:space="preserve"> гражданина или название и местонахождение юридического лица, вид деятельности, на которую выдается лицензия, место ее осуществления, особенные условия, и правила осуществление данного вида деятельности, регистрационный номер лицензии, дата выдачи, срок действия</w:t>
      </w:r>
      <w:r w:rsidR="00523F4A" w:rsidRPr="00523F4A">
        <w:t xml:space="preserve">. </w:t>
      </w:r>
      <w:r w:rsidRPr="00523F4A">
        <w:t>Срок определяется Минэкологии, но не менее чем три года</w:t>
      </w:r>
      <w:r w:rsidR="00523F4A" w:rsidRPr="00523F4A">
        <w:t xml:space="preserve">. </w:t>
      </w:r>
      <w:r w:rsidRPr="00523F4A">
        <w:t>Удлинение лицензии осуществляется в установленном порядке</w:t>
      </w:r>
      <w:r w:rsidR="00523F4A" w:rsidRPr="00523F4A">
        <w:t xml:space="preserve">. </w:t>
      </w:r>
      <w:r w:rsidRPr="00523F4A">
        <w:t>После прекращения деятельности субъектом предпринимательства предоставленная лицензия теряет силу</w:t>
      </w:r>
      <w:r w:rsidR="00523F4A" w:rsidRPr="00523F4A">
        <w:t xml:space="preserve">. </w:t>
      </w:r>
    </w:p>
    <w:p w:rsidR="00523F4A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В случае нарушения предпринимателем отмеченных в лицензии особенных условий и правил осуществления соответствующего вида деятельности Минэкоресурсов может дать распоряжение об устранении нарушений или остановить ее действие на определенный срок или к|до| устранению нарушений</w:t>
      </w:r>
      <w:r w:rsidR="00523F4A" w:rsidRPr="00523F4A">
        <w:t xml:space="preserve">. </w:t>
      </w:r>
      <w:r w:rsidRPr="00523F4A">
        <w:t>Когда же имеет место повторное или грубое нарушение правил осуществления деятельности, лицензия может быть аннулированная по решению органа, что ее выдал|издает|</w:t>
      </w:r>
      <w:r w:rsidR="00523F4A" w:rsidRPr="00523F4A">
        <w:t xml:space="preserve">. </w:t>
      </w:r>
      <w:r w:rsidRPr="00523F4A">
        <w:t>Решение об остановке действия лицензии или его аннулирования может быть обжаловано предпринимателем в суд или арбитражный суд</w:t>
      </w:r>
      <w:r w:rsidR="00523F4A" w:rsidRPr="00523F4A">
        <w:t xml:space="preserve">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</w:p>
    <w:p w:rsidR="00523F4A" w:rsidRPr="00523F4A" w:rsidRDefault="00B33753" w:rsidP="00802FCC">
      <w:pPr>
        <w:pStyle w:val="1"/>
      </w:pPr>
      <w:r>
        <w:br w:type="page"/>
      </w:r>
      <w:r w:rsidR="00841EFB" w:rsidRPr="00523F4A">
        <w:t>1</w:t>
      </w:r>
      <w:r w:rsidR="00523F4A" w:rsidRPr="00523F4A">
        <w:t xml:space="preserve">. </w:t>
      </w:r>
      <w:r w:rsidR="00841EFB" w:rsidRPr="00523F4A">
        <w:t>Основания и порядок возникновения права пользования недрами</w:t>
      </w:r>
    </w:p>
    <w:p w:rsidR="00802FCC" w:rsidRDefault="00802FCC" w:rsidP="00523F4A">
      <w:pPr>
        <w:widowControl w:val="0"/>
        <w:autoSpaceDE w:val="0"/>
        <w:autoSpaceDN w:val="0"/>
        <w:adjustRightInd w:val="0"/>
      </w:pP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Право на пользование недрами удостоверяется актом о предоставлении горного отвода</w:t>
      </w:r>
      <w:r w:rsidR="00523F4A" w:rsidRPr="00523F4A">
        <w:t xml:space="preserve">. </w:t>
      </w:r>
      <w:r w:rsidRPr="00523F4A">
        <w:t>Горные отводы могут предоставляться предприятиям и гражданам лишь при наличии в них специального разрешения (лицензии</w:t>
      </w:r>
      <w:r w:rsidR="00523F4A" w:rsidRPr="00523F4A">
        <w:t xml:space="preserve">) </w:t>
      </w:r>
      <w:r w:rsidRPr="00523F4A">
        <w:t>на пользование участком недр, а также утвержденного в установленном порядке проекта разработки месторождения полезных ископаемых или строительства горнодобывающего объекта или подземного сооружения, не связанного с добычей полезных ископаемых</w:t>
      </w:r>
      <w:r w:rsidR="00523F4A" w:rsidRPr="00523F4A">
        <w:t xml:space="preserve">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Предоставление дополнительных горных отводов к существующему оформляется как новый отвод</w:t>
      </w:r>
      <w:r w:rsidR="00523F4A" w:rsidRPr="00523F4A">
        <w:t xml:space="preserve">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Недра в пределах горного отвода должны использоваться в соответствии с целями, для которых он был предоставлен</w:t>
      </w:r>
      <w:r w:rsidR="00523F4A" w:rsidRPr="00523F4A">
        <w:t xml:space="preserve">. </w:t>
      </w:r>
      <w:r w:rsidRPr="00523F4A">
        <w:t>Передача горного отвода полностью или частично другому предприятию или гражданину запрещается</w:t>
      </w:r>
      <w:r w:rsidR="00523F4A" w:rsidRPr="00523F4A">
        <w:t xml:space="preserve">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На разработку месторождений полезных ископаемых горный отвод, как правило, предоставляется для всего месторождения</w:t>
      </w:r>
      <w:r w:rsidR="00523F4A" w:rsidRPr="00523F4A">
        <w:t xml:space="preserve">. </w:t>
      </w:r>
      <w:r w:rsidRPr="00523F4A">
        <w:t>На разработку больших месторождений полезных ископаемых, кроме нефтяных и газовых, горные отводы могут быть предоставлены двум или нескольким предприятиям или гражданам</w:t>
      </w:r>
      <w:r w:rsidR="00523F4A" w:rsidRPr="00523F4A">
        <w:t xml:space="preserve">. </w:t>
      </w:r>
      <w:r w:rsidRPr="00523F4A">
        <w:t>Горные отводы предоставляются отдельно для разработки каждого месторождения, когда разные виды полезных ископаемых залегают на одной территории</w:t>
      </w:r>
      <w:r w:rsidR="00523F4A" w:rsidRPr="00523F4A">
        <w:t xml:space="preserve">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Проекты горных отводов разрабатываются специализированными организациями</w:t>
      </w:r>
      <w:r w:rsidR="00523F4A" w:rsidRPr="00523F4A">
        <w:t xml:space="preserve">. </w:t>
      </w:r>
      <w:r w:rsidRPr="00523F4A">
        <w:t>Запрещается предоставление горного отвода, если остаются за пределами участка месторождения, рудных тел, жил и залежей полезных ископаемых, не пригодных для самостоятельной разработки</w:t>
      </w:r>
      <w:r w:rsidR="00523F4A" w:rsidRPr="00523F4A">
        <w:t xml:space="preserve">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Горные отводы для разработки месторождений полезных ископаемых общегосударственного значения, строительства и эксплуатации подземных сооружений, и для других целей, не связанных с добычей полезных ископаемых, предоставляются Государственным департаментом Украины из</w:t>
      </w:r>
      <w:r w:rsidR="00802FCC">
        <w:t xml:space="preserve"> </w:t>
      </w:r>
      <w:r w:rsidRPr="00523F4A">
        <w:t>надзора за охраной труда</w:t>
      </w:r>
      <w:r w:rsidR="00523F4A" w:rsidRPr="00523F4A">
        <w:t xml:space="preserve">. </w:t>
      </w:r>
      <w:r w:rsidRPr="00523F4A">
        <w:t>Для разработки месторождений полезных ископаемых местного значения горные отводы предоставляются Верховной Радой Автономной Республики Крым, областным, Киевским и Севастопольским городским советом</w:t>
      </w:r>
      <w:r w:rsidR="00523F4A" w:rsidRPr="00523F4A">
        <w:t xml:space="preserve">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Предприятие или гражданин для получения горного отвода в зависимости от вида месторождения подает заявление местному органу государственного горного присмотра или Верховной Раде Автономной Республики Крым, областному, Киевскому и Севастопольскому городскому совету</w:t>
      </w:r>
      <w:r w:rsidR="00523F4A" w:rsidRPr="00523F4A">
        <w:t xml:space="preserve">. </w:t>
      </w:r>
      <w:r w:rsidRPr="00523F4A">
        <w:t>В заявлении отмечаются название предприятия или сведения о гражданине, которые намереваются получить горный отвод, местонахождение горного отвода та цель, с которой он получается, подается также проект горного отвода в двух экземплярах</w:t>
      </w:r>
      <w:r w:rsidR="00523F4A" w:rsidRPr="00523F4A">
        <w:t xml:space="preserve">. </w:t>
      </w:r>
      <w:r w:rsidRPr="00523F4A">
        <w:t>Проект горного отвода состоит из объяснительной записки и графических материалов</w:t>
      </w:r>
      <w:r w:rsidR="00523F4A" w:rsidRPr="00523F4A">
        <w:t xml:space="preserve">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 xml:space="preserve">Решение относительно заявления на получение горного отвода принимается в течение не </w:t>
      </w:r>
      <w:r w:rsidR="00802FCC">
        <w:t>более</w:t>
      </w:r>
      <w:r w:rsidRPr="00523F4A">
        <w:t xml:space="preserve"> 30 дней</w:t>
      </w:r>
      <w:r w:rsidR="00523F4A" w:rsidRPr="00523F4A">
        <w:t xml:space="preserve">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Перед принятием решение рассматривается и проверяется</w:t>
      </w:r>
      <w:r w:rsidR="00523F4A" w:rsidRPr="00523F4A">
        <w:t xml:space="preserve">: </w:t>
      </w:r>
      <w:r w:rsidRPr="00523F4A">
        <w:t>правильность и обоснованность пределов горной отводу с учетом требований действующего законодательства о недрах</w:t>
      </w:r>
      <w:r w:rsidR="00523F4A" w:rsidRPr="00523F4A">
        <w:t xml:space="preserve">; </w:t>
      </w:r>
      <w:r w:rsidRPr="00523F4A">
        <w:t>соответствие проекта горного отвода требованиям Положения о предоставлении горного отвода, утвержденного постановлением Кабинета Министров Украины, от 27 января 1995 года № 591</w:t>
      </w:r>
      <w:r w:rsidR="00523F4A" w:rsidRPr="00523F4A">
        <w:t xml:space="preserve">; </w:t>
      </w:r>
      <w:r w:rsidRPr="00523F4A">
        <w:t>наличие документов, которые добавляются к проекту</w:t>
      </w:r>
      <w:r w:rsidR="00523F4A" w:rsidRPr="00523F4A">
        <w:t xml:space="preserve">; </w:t>
      </w:r>
      <w:r w:rsidRPr="00523F4A">
        <w:t>проект горнодобывающего объекта или подземного сооружения, для которых предоставляется горный отвод, относительно полноты и обоснованности проектных решений относительно рационального и комплексного использования недр, а также обеспечения безопасности людей, имущества, зданий, сооружений и окружающей естественной среды</w:t>
      </w:r>
      <w:r w:rsidR="00523F4A" w:rsidRPr="00523F4A">
        <w:t xml:space="preserve">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Предоставленные отводы регистрируются в книге учета горных отводов, предоставленных для использования участков недр</w:t>
      </w:r>
      <w:r w:rsidR="00523F4A" w:rsidRPr="00523F4A">
        <w:t xml:space="preserve">. </w:t>
      </w:r>
      <w:r w:rsidRPr="00523F4A">
        <w:t>Кроме того, предоставленные отводы для разработки месторождений полезных ископаемых местного значения подлежат регистрации в органах государственного горного присмотра, а регистрация осуществляется в книге регистрации горных отводов, которые предоставлены для разработки месторождений местного значения, о чем предприятию или гражданину выдается справка</w:t>
      </w:r>
      <w:r w:rsidR="00523F4A" w:rsidRPr="00523F4A">
        <w:t xml:space="preserve">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В некоторых случаях пользования недрами осуществляется без предоставления горного отвода или специального разрешения</w:t>
      </w:r>
      <w:r w:rsidR="00523F4A" w:rsidRPr="00523F4A">
        <w:t xml:space="preserve">. </w:t>
      </w:r>
      <w:r w:rsidRPr="00523F4A">
        <w:t>Да, в соответствии со статьями 20, 21 Кодексу Украины о недрах пользования недрами без предоставления горного отвода осуществляется при геологическом изучении недр, в том числе для опытно промышленной разработки месторождений полезных ископаемых общегосударственного значения, а также для добычи пресных подземных вод и разработки месторождений торфа</w:t>
      </w:r>
      <w:r w:rsidR="00523F4A" w:rsidRPr="00523F4A">
        <w:t xml:space="preserve">. </w:t>
      </w:r>
    </w:p>
    <w:p w:rsidR="00523F4A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Без специальных разрешений и предоставления горного отвода имеют право добывать для своих хозяйственных и бытовых потребностей полезные ископаемые местного значения и торф, а также подземные пресные воды землевладельцы и землепользователи в пределах предоставленных им земельных участков, если общая глубина разработки не будет превышать два метра, а в случае добычи пресных подземных вод</w:t>
      </w:r>
      <w:r w:rsidR="00523F4A" w:rsidRPr="00523F4A">
        <w:t xml:space="preserve"> - </w:t>
      </w:r>
      <w:r w:rsidRPr="00523F4A">
        <w:t>20 метров</w:t>
      </w:r>
      <w:r w:rsidR="00523F4A" w:rsidRPr="00523F4A">
        <w:t xml:space="preserve">. </w:t>
      </w:r>
    </w:p>
    <w:p w:rsidR="00523F4A" w:rsidRPr="00523F4A" w:rsidRDefault="00523F4A" w:rsidP="00523F4A">
      <w:pPr>
        <w:widowControl w:val="0"/>
        <w:autoSpaceDE w:val="0"/>
        <w:autoSpaceDN w:val="0"/>
        <w:adjustRightInd w:val="0"/>
      </w:pPr>
    </w:p>
    <w:p w:rsidR="00841EFB" w:rsidRPr="00523F4A" w:rsidRDefault="00203923" w:rsidP="00203923">
      <w:pPr>
        <w:pStyle w:val="1"/>
      </w:pPr>
      <w:r>
        <w:br w:type="page"/>
      </w:r>
      <w:r w:rsidR="00841EFB" w:rsidRPr="00523F4A">
        <w:t>Вывод</w:t>
      </w:r>
    </w:p>
    <w:p w:rsidR="00203923" w:rsidRDefault="00203923" w:rsidP="00523F4A">
      <w:pPr>
        <w:widowControl w:val="0"/>
        <w:autoSpaceDE w:val="0"/>
        <w:autoSpaceDN w:val="0"/>
        <w:adjustRightInd w:val="0"/>
      </w:pP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Добыча полезных ископаемых местного значения и торфа с применением специальных технических средств, которые могут привести к нежелательным изменениям окружающей природной среды, соглашается с местными советами и органами Министерства экологии и природных ресурсов Украины на местах (ст</w:t>
      </w:r>
      <w:r w:rsidR="00523F4A" w:rsidRPr="00523F4A">
        <w:t>.2</w:t>
      </w:r>
      <w:r w:rsidRPr="00523F4A">
        <w:t>3 КПН Украины</w:t>
      </w:r>
      <w:r w:rsidR="00523F4A" w:rsidRPr="00523F4A">
        <w:t xml:space="preserve">). </w:t>
      </w:r>
    </w:p>
    <w:p w:rsidR="00841EFB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Иностранным юридическим лицам и гражданам недра в пользование и право на переработку минерального сырья предоставляются на конкурсной основе на основании соглашений (контрактов</w:t>
      </w:r>
      <w:r w:rsidR="00523F4A" w:rsidRPr="00523F4A">
        <w:t xml:space="preserve">). </w:t>
      </w:r>
      <w:r w:rsidRPr="00523F4A">
        <w:t>Порядок заключения контрактов определяется Кабинетом Министров Украины в соответствии с требованиями КПН и других законодательных актов</w:t>
      </w:r>
      <w:r w:rsidR="00523F4A" w:rsidRPr="00523F4A">
        <w:t xml:space="preserve">. </w:t>
      </w:r>
    </w:p>
    <w:p w:rsidR="00523F4A" w:rsidRPr="00523F4A" w:rsidRDefault="00841EFB" w:rsidP="00523F4A">
      <w:pPr>
        <w:widowControl w:val="0"/>
        <w:autoSpaceDE w:val="0"/>
        <w:autoSpaceDN w:val="0"/>
        <w:adjustRightInd w:val="0"/>
      </w:pPr>
      <w:r w:rsidRPr="00523F4A">
        <w:t>Предоставление земельных участков для потребностей, связанных с пользованием недрами, осуществляется в порядке, установленном земельным законодательством Украины</w:t>
      </w:r>
      <w:r w:rsidR="00523F4A" w:rsidRPr="00523F4A">
        <w:t xml:space="preserve">. </w:t>
      </w:r>
      <w:r w:rsidRPr="00523F4A">
        <w:t>Земельные участки для пользования недрами предоставляются пользователям недр после получения ими специальных разрешений на пользование недрами или горных отводов (кроме случаев, когда это не нужно</w:t>
      </w:r>
      <w:r w:rsidR="00523F4A" w:rsidRPr="00523F4A">
        <w:t xml:space="preserve">). </w:t>
      </w:r>
      <w:r w:rsidRPr="00523F4A">
        <w:t>Местные советы при предоставлении земельного участка для разработки месторождений полезных ископаемых местного значения одновременно предоставляют в пользование и недра</w:t>
      </w:r>
      <w:r w:rsidR="00523F4A" w:rsidRPr="00523F4A">
        <w:t xml:space="preserve">. </w:t>
      </w:r>
    </w:p>
    <w:p w:rsidR="00841EFB" w:rsidRPr="00523F4A" w:rsidRDefault="00203923" w:rsidP="00203923">
      <w:pPr>
        <w:pStyle w:val="1"/>
      </w:pPr>
      <w:r>
        <w:br w:type="page"/>
      </w:r>
      <w:r w:rsidR="00841EFB" w:rsidRPr="00523F4A">
        <w:t>Литература</w:t>
      </w:r>
    </w:p>
    <w:p w:rsidR="00203923" w:rsidRDefault="00203923" w:rsidP="00523F4A">
      <w:pPr>
        <w:widowControl w:val="0"/>
        <w:autoSpaceDE w:val="0"/>
        <w:autoSpaceDN w:val="0"/>
        <w:adjustRightInd w:val="0"/>
        <w:rPr>
          <w:lang w:val="uk-UA"/>
        </w:rPr>
      </w:pPr>
    </w:p>
    <w:p w:rsidR="00841EFB" w:rsidRPr="00523F4A" w:rsidRDefault="00841EFB" w:rsidP="00203923">
      <w:pPr>
        <w:pStyle w:val="a1"/>
        <w:tabs>
          <w:tab w:val="left" w:pos="560"/>
        </w:tabs>
        <w:ind w:firstLine="0"/>
      </w:pPr>
      <w:r w:rsidRPr="00523F4A">
        <w:t>Баб’як О</w:t>
      </w:r>
      <w:r w:rsidR="00523F4A" w:rsidRPr="00523F4A">
        <w:t xml:space="preserve">. </w:t>
      </w:r>
      <w:r w:rsidRPr="00523F4A">
        <w:t xml:space="preserve">С, </w:t>
      </w:r>
      <w:r w:rsidR="00203923">
        <w:rPr>
          <w:lang w:val="uk-UA"/>
        </w:rPr>
        <w:t>Б</w:t>
      </w:r>
      <w:r w:rsidRPr="00523F4A">
        <w:t>иленчук П</w:t>
      </w:r>
      <w:r w:rsidR="00523F4A" w:rsidRPr="00523F4A">
        <w:t xml:space="preserve">.Д., </w:t>
      </w:r>
      <w:r w:rsidRPr="00523F4A">
        <w:t>Черва Ю</w:t>
      </w:r>
      <w:r w:rsidR="00523F4A" w:rsidRPr="00523F4A">
        <w:t xml:space="preserve">.О. </w:t>
      </w:r>
      <w:r w:rsidRPr="00523F4A">
        <w:t>Еколог</w:t>
      </w:r>
      <w:r w:rsidR="00203923">
        <w:rPr>
          <w:lang w:val="uk-UA"/>
        </w:rPr>
        <w:t>і</w:t>
      </w:r>
      <w:r w:rsidRPr="00523F4A">
        <w:t>чне право Укра</w:t>
      </w:r>
      <w:r w:rsidR="00203923">
        <w:rPr>
          <w:lang w:val="uk-UA"/>
        </w:rPr>
        <w:t>ї</w:t>
      </w:r>
      <w:r w:rsidR="00203923">
        <w:t>н</w:t>
      </w:r>
      <w:r w:rsidR="00203923">
        <w:rPr>
          <w:lang w:val="uk-UA"/>
        </w:rPr>
        <w:t>и</w:t>
      </w:r>
      <w:r w:rsidR="00523F4A" w:rsidRPr="00523F4A">
        <w:t xml:space="preserve">: </w:t>
      </w:r>
      <w:r w:rsidRPr="00523F4A">
        <w:t>Учебное пособие</w:t>
      </w:r>
      <w:r w:rsidR="00523F4A" w:rsidRPr="00523F4A">
        <w:t xml:space="preserve">. - </w:t>
      </w:r>
      <w:r w:rsidRPr="00523F4A">
        <w:t>К</w:t>
      </w:r>
      <w:r w:rsidR="00523F4A" w:rsidRPr="00523F4A">
        <w:t xml:space="preserve">.: </w:t>
      </w:r>
      <w:r w:rsidRPr="00523F4A">
        <w:t>Атика, 2000</w:t>
      </w:r>
      <w:r w:rsidR="00523F4A" w:rsidRPr="00523F4A">
        <w:t xml:space="preserve">. - </w:t>
      </w:r>
      <w:r w:rsidRPr="00523F4A">
        <w:t>216 с</w:t>
      </w:r>
      <w:r w:rsidR="00523F4A" w:rsidRPr="00523F4A">
        <w:t xml:space="preserve">. </w:t>
      </w:r>
    </w:p>
    <w:p w:rsidR="00841EFB" w:rsidRPr="00523F4A" w:rsidRDefault="00841EFB" w:rsidP="00203923">
      <w:pPr>
        <w:pStyle w:val="a1"/>
        <w:tabs>
          <w:tab w:val="left" w:pos="560"/>
        </w:tabs>
        <w:ind w:firstLine="0"/>
      </w:pPr>
      <w:r w:rsidRPr="00523F4A">
        <w:t>Балюк г</w:t>
      </w:r>
      <w:r w:rsidR="00523F4A" w:rsidRPr="00523F4A">
        <w:t xml:space="preserve">.И. </w:t>
      </w:r>
      <w:r w:rsidRPr="00523F4A">
        <w:t>Экологическое право Украины</w:t>
      </w:r>
      <w:r w:rsidR="00523F4A" w:rsidRPr="00523F4A">
        <w:t xml:space="preserve">. </w:t>
      </w:r>
      <w:r w:rsidRPr="00523F4A">
        <w:t>Конспект лекции в схемах (Общая и Особенная часть</w:t>
      </w:r>
      <w:r w:rsidR="00523F4A" w:rsidRPr="00523F4A">
        <w:t xml:space="preserve">): </w:t>
      </w:r>
      <w:r w:rsidRPr="00523F4A">
        <w:t>Навч</w:t>
      </w:r>
      <w:r w:rsidR="00523F4A" w:rsidRPr="00523F4A">
        <w:t xml:space="preserve">. </w:t>
      </w:r>
      <w:r w:rsidRPr="00523F4A">
        <w:t>Пособие</w:t>
      </w:r>
      <w:r w:rsidR="00523F4A" w:rsidRPr="00523F4A">
        <w:t xml:space="preserve">. </w:t>
      </w:r>
      <w:r w:rsidRPr="00523F4A">
        <w:t>– К</w:t>
      </w:r>
      <w:r w:rsidR="00523F4A" w:rsidRPr="00523F4A">
        <w:t xml:space="preserve">.: </w:t>
      </w:r>
      <w:r w:rsidRPr="00523F4A">
        <w:t>Хринком Интер, 2006</w:t>
      </w:r>
      <w:r w:rsidR="00523F4A" w:rsidRPr="00523F4A">
        <w:t xml:space="preserve">. </w:t>
      </w:r>
      <w:r w:rsidRPr="00523F4A">
        <w:t>– 192 с</w:t>
      </w:r>
      <w:r w:rsidR="00523F4A" w:rsidRPr="00523F4A">
        <w:t xml:space="preserve">. </w:t>
      </w:r>
    </w:p>
    <w:p w:rsidR="00841EFB" w:rsidRPr="00523F4A" w:rsidRDefault="00841EFB" w:rsidP="00203923">
      <w:pPr>
        <w:pStyle w:val="a1"/>
        <w:tabs>
          <w:tab w:val="left" w:pos="560"/>
        </w:tabs>
        <w:ind w:firstLine="0"/>
      </w:pPr>
      <w:r w:rsidRPr="00523F4A">
        <w:t>Экологическое право</w:t>
      </w:r>
      <w:r w:rsidR="00523F4A" w:rsidRPr="00523F4A">
        <w:t xml:space="preserve">. </w:t>
      </w:r>
      <w:r w:rsidRPr="00523F4A">
        <w:t>Особенная часть Учебник</w:t>
      </w:r>
      <w:r w:rsidR="00523F4A" w:rsidRPr="00523F4A">
        <w:t xml:space="preserve">. </w:t>
      </w:r>
      <w:r w:rsidRPr="00523F4A">
        <w:t>Для студентов юридических вузов и факультетов</w:t>
      </w:r>
      <w:r w:rsidR="00523F4A" w:rsidRPr="00523F4A">
        <w:t xml:space="preserve">. </w:t>
      </w:r>
      <w:r w:rsidRPr="00523F4A">
        <w:t>За редакцией академика Апрн Украины, В</w:t>
      </w:r>
      <w:r w:rsidR="00523F4A" w:rsidRPr="00523F4A">
        <w:t xml:space="preserve">.И. </w:t>
      </w:r>
      <w:r w:rsidRPr="00523F4A">
        <w:t>Андрейцева</w:t>
      </w:r>
      <w:r w:rsidR="00523F4A" w:rsidRPr="00523F4A">
        <w:t xml:space="preserve">. </w:t>
      </w:r>
      <w:r w:rsidRPr="00523F4A">
        <w:t>К</w:t>
      </w:r>
      <w:r w:rsidR="00523F4A" w:rsidRPr="00523F4A">
        <w:t xml:space="preserve">.: </w:t>
      </w:r>
      <w:r w:rsidRPr="00523F4A">
        <w:t>Истина, 2001</w:t>
      </w:r>
    </w:p>
    <w:p w:rsidR="00841EFB" w:rsidRPr="00523F4A" w:rsidRDefault="00841EFB" w:rsidP="00203923">
      <w:pPr>
        <w:pStyle w:val="a1"/>
        <w:tabs>
          <w:tab w:val="left" w:pos="560"/>
        </w:tabs>
        <w:ind w:firstLine="0"/>
      </w:pPr>
      <w:r w:rsidRPr="00523F4A">
        <w:t>Экологическое право Украины За редакцией профессоров В</w:t>
      </w:r>
      <w:r w:rsidR="00523F4A" w:rsidRPr="00523F4A">
        <w:t xml:space="preserve">.К. </w:t>
      </w:r>
      <w:r w:rsidRPr="00523F4A">
        <w:t>Попова и А</w:t>
      </w:r>
      <w:r w:rsidR="00523F4A" w:rsidRPr="00523F4A">
        <w:t xml:space="preserve">.П. </w:t>
      </w:r>
      <w:r w:rsidRPr="00523F4A">
        <w:t>Гетманы</w:t>
      </w:r>
      <w:r w:rsidR="00523F4A" w:rsidRPr="00523F4A">
        <w:t xml:space="preserve">. </w:t>
      </w:r>
      <w:r w:rsidRPr="00523F4A">
        <w:t>Харьков, «Право»</w:t>
      </w:r>
      <w:r w:rsidR="00523F4A" w:rsidRPr="00523F4A">
        <w:t>. 20</w:t>
      </w:r>
      <w:r w:rsidRPr="00523F4A">
        <w:t>01</w:t>
      </w:r>
    </w:p>
    <w:p w:rsidR="00841EFB" w:rsidRPr="00523F4A" w:rsidRDefault="00841EFB" w:rsidP="00203923">
      <w:pPr>
        <w:pStyle w:val="a1"/>
        <w:tabs>
          <w:tab w:val="left" w:pos="560"/>
        </w:tabs>
        <w:ind w:firstLine="0"/>
      </w:pPr>
      <w:r w:rsidRPr="00523F4A">
        <w:t>Экологическое право Украины</w:t>
      </w:r>
      <w:r w:rsidR="00523F4A" w:rsidRPr="00523F4A">
        <w:t xml:space="preserve">. </w:t>
      </w:r>
      <w:r w:rsidRPr="00523F4A">
        <w:t>Академический курс</w:t>
      </w:r>
      <w:r w:rsidR="00523F4A" w:rsidRPr="00523F4A">
        <w:t xml:space="preserve">: </w:t>
      </w:r>
      <w:r w:rsidRPr="00523F4A">
        <w:t>Учебник / За заг</w:t>
      </w:r>
      <w:r w:rsidR="00523F4A" w:rsidRPr="00523F4A">
        <w:t xml:space="preserve">. </w:t>
      </w:r>
      <w:r w:rsidRPr="00523F4A">
        <w:t>редакторша Ю</w:t>
      </w:r>
      <w:r w:rsidR="00523F4A" w:rsidRPr="00523F4A">
        <w:t xml:space="preserve">.С. </w:t>
      </w:r>
      <w:r w:rsidRPr="00523F4A">
        <w:t>Шемшученко</w:t>
      </w:r>
      <w:r w:rsidR="00523F4A" w:rsidRPr="00523F4A">
        <w:t xml:space="preserve">. - </w:t>
      </w:r>
      <w:r w:rsidRPr="00523F4A">
        <w:t>К</w:t>
      </w:r>
      <w:r w:rsidR="00523F4A" w:rsidRPr="00523F4A">
        <w:t xml:space="preserve">.: </w:t>
      </w:r>
      <w:r w:rsidRPr="00523F4A">
        <w:t>ООО «Издательство «Юридическая мысль», 2005</w:t>
      </w:r>
      <w:r w:rsidR="00523F4A" w:rsidRPr="00523F4A">
        <w:t xml:space="preserve">. - </w:t>
      </w:r>
      <w:r w:rsidRPr="00523F4A">
        <w:t>848 с</w:t>
      </w:r>
    </w:p>
    <w:p w:rsidR="00841EFB" w:rsidRPr="00523F4A" w:rsidRDefault="00841EFB" w:rsidP="00203923">
      <w:pPr>
        <w:pStyle w:val="a1"/>
        <w:tabs>
          <w:tab w:val="left" w:pos="560"/>
        </w:tabs>
        <w:ind w:firstLine="0"/>
      </w:pPr>
      <w:r w:rsidRPr="00523F4A">
        <w:t>Закон Украины “Об охране окружающей среды”</w:t>
      </w:r>
      <w:r w:rsidR="00523F4A" w:rsidRPr="00523F4A">
        <w:t xml:space="preserve">. </w:t>
      </w:r>
      <w:r w:rsidRPr="00523F4A">
        <w:t>– К</w:t>
      </w:r>
      <w:r w:rsidR="00523F4A" w:rsidRPr="00523F4A">
        <w:t>.,</w:t>
      </w:r>
      <w:r w:rsidRPr="00523F4A">
        <w:t xml:space="preserve"> 1991</w:t>
      </w:r>
      <w:r w:rsidR="00523F4A" w:rsidRPr="00523F4A">
        <w:t xml:space="preserve">. </w:t>
      </w:r>
    </w:p>
    <w:p w:rsidR="00523F4A" w:rsidRPr="00523F4A" w:rsidRDefault="00841EFB" w:rsidP="00203923">
      <w:pPr>
        <w:pStyle w:val="a1"/>
        <w:tabs>
          <w:tab w:val="left" w:pos="560"/>
        </w:tabs>
        <w:ind w:firstLine="0"/>
      </w:pPr>
      <w:r w:rsidRPr="00523F4A">
        <w:t>Сафранов т</w:t>
      </w:r>
      <w:r w:rsidR="00523F4A" w:rsidRPr="00523F4A">
        <w:t xml:space="preserve">.А. </w:t>
      </w:r>
      <w:r w:rsidRPr="00523F4A">
        <w:t>Экологические основы природопользования</w:t>
      </w:r>
      <w:r w:rsidR="00523F4A" w:rsidRPr="00523F4A">
        <w:t xml:space="preserve">: </w:t>
      </w:r>
      <w:r w:rsidRPr="00523F4A">
        <w:t>Учебное пособие для студентов высших учебных заведений</w:t>
      </w:r>
      <w:r w:rsidR="00523F4A" w:rsidRPr="00523F4A">
        <w:t xml:space="preserve">. - </w:t>
      </w:r>
      <w:r w:rsidRPr="00523F4A">
        <w:t>Львів</w:t>
      </w:r>
      <w:r w:rsidR="00523F4A" w:rsidRPr="00523F4A">
        <w:t xml:space="preserve">: </w:t>
      </w:r>
      <w:r w:rsidRPr="00523F4A">
        <w:t>“Новый Мир-2000”, 2003</w:t>
      </w:r>
      <w:r w:rsidR="00523F4A" w:rsidRPr="00523F4A">
        <w:t xml:space="preserve">. - </w:t>
      </w:r>
      <w:r w:rsidRPr="00523F4A">
        <w:t>248 с</w:t>
      </w:r>
      <w:r w:rsidR="00523F4A" w:rsidRPr="00523F4A">
        <w:t xml:space="preserve">. </w:t>
      </w:r>
    </w:p>
    <w:p w:rsidR="00622681" w:rsidRPr="00523F4A" w:rsidRDefault="00622681" w:rsidP="00523F4A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622681" w:rsidRPr="00523F4A" w:rsidSect="00523F4A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1B" w:rsidRDefault="006C651B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6C651B" w:rsidRDefault="006C651B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1C" w:rsidRDefault="00BC671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1C" w:rsidRDefault="00BC671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1B" w:rsidRDefault="006C651B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6C651B" w:rsidRDefault="006C651B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1C" w:rsidRDefault="00002763" w:rsidP="00523F4A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BC671C" w:rsidRDefault="00BC671C" w:rsidP="00523F4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1C" w:rsidRDefault="00BC67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EFB"/>
    <w:rsid w:val="00002763"/>
    <w:rsid w:val="000943CF"/>
    <w:rsid w:val="001318A6"/>
    <w:rsid w:val="00203923"/>
    <w:rsid w:val="003233E5"/>
    <w:rsid w:val="00523F4A"/>
    <w:rsid w:val="00557E5D"/>
    <w:rsid w:val="005A6421"/>
    <w:rsid w:val="00622681"/>
    <w:rsid w:val="006C651B"/>
    <w:rsid w:val="00802FCC"/>
    <w:rsid w:val="00841EFB"/>
    <w:rsid w:val="00B33753"/>
    <w:rsid w:val="00BC671C"/>
    <w:rsid w:val="00CF337E"/>
    <w:rsid w:val="00D6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A3BAED-339B-426F-876E-71EF311A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23F4A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523F4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locked/>
    <w:rsid w:val="00523F4A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locked/>
    <w:rsid w:val="00523F4A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523F4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523F4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523F4A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523F4A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523F4A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semiHidden/>
    <w:rsid w:val="00841EF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41EF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R1">
    <w:name w:val="FR1"/>
    <w:uiPriority w:val="99"/>
    <w:rsid w:val="00841EFB"/>
    <w:pPr>
      <w:widowControl w:val="0"/>
      <w:autoSpaceDE w:val="0"/>
      <w:autoSpaceDN w:val="0"/>
      <w:adjustRightInd w:val="0"/>
      <w:spacing w:before="460" w:line="300" w:lineRule="auto"/>
      <w:jc w:val="center"/>
    </w:pPr>
    <w:rPr>
      <w:rFonts w:ascii="Times New Roman" w:hAnsi="Times New Roman"/>
      <w:sz w:val="72"/>
      <w:szCs w:val="72"/>
      <w:lang w:val="uk-UA"/>
    </w:rPr>
  </w:style>
  <w:style w:type="paragraph" w:styleId="a6">
    <w:name w:val="header"/>
    <w:basedOn w:val="a2"/>
    <w:next w:val="a7"/>
    <w:link w:val="a8"/>
    <w:uiPriority w:val="99"/>
    <w:rsid w:val="00523F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523F4A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523F4A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523F4A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23F4A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523F4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523F4A"/>
    <w:pPr>
      <w:widowControl w:val="0"/>
      <w:autoSpaceDE w:val="0"/>
      <w:autoSpaceDN w:val="0"/>
      <w:adjustRightInd w:val="0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523F4A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523F4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23F4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23F4A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523F4A"/>
  </w:style>
  <w:style w:type="character" w:customStyle="1" w:styleId="af2">
    <w:name w:val="номер страницы"/>
    <w:uiPriority w:val="99"/>
    <w:rsid w:val="00523F4A"/>
    <w:rPr>
      <w:sz w:val="28"/>
      <w:szCs w:val="28"/>
    </w:rPr>
  </w:style>
  <w:style w:type="paragraph" w:styleId="af3">
    <w:name w:val="Normal (Web)"/>
    <w:basedOn w:val="a2"/>
    <w:uiPriority w:val="99"/>
    <w:rsid w:val="00523F4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523F4A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locked/>
    <w:rsid w:val="00523F4A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523F4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523F4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523F4A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523F4A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23F4A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23F4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23F4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23F4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23F4A"/>
    <w:rPr>
      <w:i/>
      <w:iCs/>
    </w:rPr>
  </w:style>
  <w:style w:type="paragraph" w:customStyle="1" w:styleId="af4">
    <w:name w:val="схема"/>
    <w:basedOn w:val="a2"/>
    <w:uiPriority w:val="99"/>
    <w:rsid w:val="00523F4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523F4A"/>
    <w:pPr>
      <w:spacing w:line="360" w:lineRule="auto"/>
      <w:jc w:val="center"/>
    </w:pPr>
    <w:rPr>
      <w:rFonts w:ascii="Times New Roman" w:eastAsia="Times New Roman" w:hAnsi="Times New Roman"/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523F4A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8">
    <w:name w:val="титут"/>
    <w:uiPriority w:val="99"/>
    <w:rsid w:val="00523F4A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2014-03-06T14:44:00Z</dcterms:created>
  <dcterms:modified xsi:type="dcterms:W3CDTF">2014-03-06T14:44:00Z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