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76" w:rsidRPr="000D1376" w:rsidRDefault="000D1376" w:rsidP="000D1376">
      <w:pPr>
        <w:pStyle w:val="ConsPlusTitle"/>
        <w:widowControl/>
        <w:spacing w:line="360" w:lineRule="auto"/>
        <w:jc w:val="center"/>
        <w:rPr>
          <w:rFonts w:ascii="Times New Roman" w:hAnsi="Times New Roman" w:cs="Times New Roman"/>
          <w:sz w:val="28"/>
          <w:szCs w:val="28"/>
        </w:rPr>
      </w:pPr>
      <w:r w:rsidRPr="000D1376">
        <w:rPr>
          <w:rFonts w:ascii="Times New Roman" w:hAnsi="Times New Roman" w:cs="Times New Roman"/>
          <w:sz w:val="28"/>
          <w:szCs w:val="28"/>
        </w:rPr>
        <w:t>Основные банковские риски, их взаимосвязь</w:t>
      </w:r>
    </w:p>
    <w:p w:rsidR="000D1376" w:rsidRPr="000D1376" w:rsidRDefault="000D1376" w:rsidP="000D1376">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и</w:t>
      </w:r>
      <w:r w:rsidRPr="000D1376">
        <w:rPr>
          <w:rFonts w:ascii="Times New Roman" w:hAnsi="Times New Roman" w:cs="Times New Roman"/>
          <w:sz w:val="28"/>
          <w:szCs w:val="28"/>
        </w:rPr>
        <w:t xml:space="preserve"> влияние на управление банком</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Основные тенденции в развитии банков</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 мере развития и эволюции мировых финансов и финансового сектора развивались и видоизменялись банки, условия и ритм их работы, предоставляемые услуги, сферы деятельности, а также связанные с этим риски, существование и влияние которых на деятельность и жизнеспособность банков необходимо учитывать для успешного управления банком.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большинстве случаев банковская система страны отражает среду, в которой банкам приходится преимущественно осуществлять свою деятельность. Соответственно, изменения, происходящие в этой системе, являются отражением и/или реакцией на изменения, затрагивающие деятельность банковских организаций или финансового сектора в целом. К основным факторам, вызывающим такого рода изменения, можно отнести дерегулирование действующего законодательства, технологические нововведения и инновации, изменчивость и/или нестабильность финансовой среды и экономики в целом, вопросы достаточности капитала и предпочтения клиентов.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Под дерегулированием подразумевается ослабление или снятие каких-либо ограничений на свободную конкуренцию на рынке банковских услуг. Часто такого рода изменения называются структурным дерегулированием. Данная тенденция стала отчетливо проявляться в развитых странах в начале 1980-х, когда были сняты и стали не столь жесткими многие ограничения в деятельности сберегательных банков, депозитных учреждений, брокерских, страховых и прочих финансовых компаний. Это значительно усилило конкуренцию на рынке, ведь теперь многие финансовые организации могли предоставлять практически одинаковый пакет услуг, и границы, например, в деятельности коммерческих и инвестиционных банков стали весьма нечеткими. У клиентов появился более широкий выбор финансовых организаций, которые, в свою очередь, в борьбе за клиента повысили качество предоставляемых услуг и вынуждены были снизить маржу доходности.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Так, в результате дерегулирования в Великобритании коммерческие банки начали заниматься брокерской и страховой деятельностью, многие английские банки - создавать финансовые конгломераты путем покупки финансовых компаний, например брокерских контор и агентств недвижимости. Коммерческие банки Великобритании даже получили название "супермаркеты финансовых услуг". К таким банкам относятся HSBC и National Westminster Bank. Другой яркий пример - американская банковская система, где были установлены значительные ограничения на разрешенные виды деятельности для различного рода финансовых организаций и до 1994 г. существовали лимиты на открытие банками филиалов в других штатах. Американский банковский сектор был фрагментированным, и американская банковская система характеризовалась обилием мелких банков и небольшим количеством крупных банковских учреждений. Так, в 1992 г., за несколько лет до проведения активной фазы дерегулирования, более половины банковских активов было сосредоточено в 107 крупных коммерческих банках, в то время как на долю 10 000 мелких банков приходилось всего 20% активов. Распределение активов коммерческих банков по состоянию на конец 2005 г. в США показано в табл. 1.</w:t>
      </w:r>
    </w:p>
    <w:p w:rsidR="000D1376" w:rsidRDefault="000D1376" w:rsidP="000D1376">
      <w:pPr>
        <w:pStyle w:val="ConsPlusNonformat"/>
        <w:widowControl/>
        <w:spacing w:line="360" w:lineRule="auto"/>
        <w:jc w:val="both"/>
        <w:rPr>
          <w:rFonts w:ascii="Times New Roman" w:hAnsi="Times New Roman" w:cs="Times New Roman"/>
          <w:sz w:val="28"/>
          <w:szCs w:val="28"/>
        </w:rPr>
      </w:pPr>
    </w:p>
    <w:p w:rsidR="00374427" w:rsidRDefault="00374427" w:rsidP="000D1376">
      <w:pPr>
        <w:pStyle w:val="ConsPlusNonformat"/>
        <w:widowControl/>
        <w:spacing w:line="360" w:lineRule="auto"/>
        <w:jc w:val="both"/>
        <w:rPr>
          <w:rFonts w:ascii="Times New Roman" w:hAnsi="Times New Roman" w:cs="Times New Roman"/>
          <w:sz w:val="28"/>
          <w:szCs w:val="28"/>
        </w:rPr>
      </w:pPr>
    </w:p>
    <w:p w:rsidR="00374427" w:rsidRDefault="00374427" w:rsidP="000D1376">
      <w:pPr>
        <w:pStyle w:val="ConsPlusNonformat"/>
        <w:widowControl/>
        <w:spacing w:line="360" w:lineRule="auto"/>
        <w:jc w:val="both"/>
        <w:rPr>
          <w:rFonts w:ascii="Times New Roman" w:hAnsi="Times New Roman" w:cs="Times New Roman"/>
          <w:sz w:val="28"/>
          <w:szCs w:val="28"/>
        </w:rPr>
      </w:pPr>
    </w:p>
    <w:p w:rsidR="00374427" w:rsidRDefault="00374427" w:rsidP="000D1376">
      <w:pPr>
        <w:pStyle w:val="ConsPlusNonformat"/>
        <w:widowControl/>
        <w:spacing w:line="360" w:lineRule="auto"/>
        <w:jc w:val="both"/>
        <w:rPr>
          <w:rFonts w:ascii="Times New Roman" w:hAnsi="Times New Roman" w:cs="Times New Roman"/>
          <w:sz w:val="28"/>
          <w:szCs w:val="28"/>
        </w:rPr>
      </w:pPr>
    </w:p>
    <w:p w:rsidR="00374427" w:rsidRPr="000D1376" w:rsidRDefault="00374427"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1</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Активы коммерческих банков США по состоянию на конец 2005 г.</w:t>
      </w:r>
    </w:p>
    <w:tbl>
      <w:tblPr>
        <w:tblpPr w:leftFromText="180" w:rightFromText="180" w:vertAnchor="text" w:horzAnchor="page" w:tblpX="1" w:tblpY="362"/>
        <w:tblW w:w="12850" w:type="dxa"/>
        <w:tblLayout w:type="fixed"/>
        <w:tblCellMar>
          <w:left w:w="70" w:type="dxa"/>
          <w:right w:w="70" w:type="dxa"/>
        </w:tblCellMar>
        <w:tblLook w:val="0000" w:firstRow="0" w:lastRow="0" w:firstColumn="0" w:lastColumn="0" w:noHBand="0" w:noVBand="0"/>
      </w:tblPr>
      <w:tblGrid>
        <w:gridCol w:w="160"/>
        <w:gridCol w:w="2700"/>
        <w:gridCol w:w="1890"/>
        <w:gridCol w:w="810"/>
        <w:gridCol w:w="1890"/>
        <w:gridCol w:w="810"/>
        <w:gridCol w:w="1890"/>
        <w:gridCol w:w="810"/>
        <w:gridCol w:w="1755"/>
        <w:gridCol w:w="135"/>
      </w:tblGrid>
      <w:tr w:rsidR="000D1376" w:rsidRPr="000D1376">
        <w:trPr>
          <w:gridAfter w:val="1"/>
          <w:wAfter w:w="135" w:type="dxa"/>
          <w:trHeight w:val="360"/>
        </w:trPr>
        <w:tc>
          <w:tcPr>
            <w:tcW w:w="160" w:type="dxa"/>
            <w:tcBorders>
              <w:top w:val="nil"/>
              <w:left w:val="nil"/>
              <w:bottom w:val="nil"/>
              <w:right w:val="nil"/>
            </w:tcBorders>
          </w:tcPr>
          <w:p w:rsidR="000D1376" w:rsidRPr="000D1376" w:rsidRDefault="000D1376" w:rsidP="000D1376"/>
        </w:tc>
        <w:tc>
          <w:tcPr>
            <w:tcW w:w="2700" w:type="dxa"/>
            <w:vMerge w:val="restart"/>
            <w:tcBorders>
              <w:top w:val="single" w:sz="6" w:space="0" w:color="auto"/>
              <w:left w:val="nil"/>
              <w:bottom w:val="nil"/>
              <w:right w:val="single" w:sz="6" w:space="0" w:color="auto"/>
            </w:tcBorders>
          </w:tcPr>
          <w:p w:rsidR="000D1376" w:rsidRPr="000D1376" w:rsidRDefault="000D1376" w:rsidP="000D1376">
            <w:r w:rsidRPr="000D1376">
              <w:t xml:space="preserve">Показатель     </w:t>
            </w:r>
          </w:p>
        </w:tc>
        <w:tc>
          <w:tcPr>
            <w:tcW w:w="270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&lt; 100 млн  </w:t>
            </w:r>
            <w:r w:rsidRPr="000D1376">
              <w:br/>
              <w:t xml:space="preserve">долл.       </w:t>
            </w:r>
          </w:p>
        </w:tc>
        <w:tc>
          <w:tcPr>
            <w:tcW w:w="270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от 100 млн </w:t>
            </w:r>
            <w:r w:rsidRPr="000D1376">
              <w:br/>
              <w:t xml:space="preserve">до 1 млрд долл.  </w:t>
            </w:r>
          </w:p>
        </w:tc>
        <w:tc>
          <w:tcPr>
            <w:tcW w:w="270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&gt; 1 млрд  </w:t>
            </w:r>
            <w:r w:rsidRPr="000D1376">
              <w:br/>
              <w:t xml:space="preserve">долл.       </w:t>
            </w:r>
          </w:p>
        </w:tc>
        <w:tc>
          <w:tcPr>
            <w:tcW w:w="1755" w:type="dxa"/>
            <w:vMerge w:val="restart"/>
            <w:tcBorders>
              <w:top w:val="single" w:sz="6" w:space="0" w:color="auto"/>
              <w:left w:val="single" w:sz="6" w:space="0" w:color="auto"/>
              <w:bottom w:val="nil"/>
              <w:right w:val="nil"/>
            </w:tcBorders>
          </w:tcPr>
          <w:p w:rsidR="000D1376" w:rsidRPr="000D1376" w:rsidRDefault="000D1376" w:rsidP="000D1376">
            <w:r w:rsidRPr="000D1376">
              <w:t>Итого</w:t>
            </w:r>
          </w:p>
        </w:tc>
      </w:tr>
      <w:tr w:rsidR="000D1376" w:rsidRPr="000D1376">
        <w:trPr>
          <w:gridBefore w:val="1"/>
          <w:gridAfter w:val="1"/>
          <w:wBefore w:w="160" w:type="dxa"/>
          <w:wAfter w:w="135" w:type="dxa"/>
          <w:trHeight w:val="240"/>
        </w:trPr>
        <w:tc>
          <w:tcPr>
            <w:tcW w:w="2700" w:type="dxa"/>
            <w:vMerge/>
            <w:tcBorders>
              <w:top w:val="nil"/>
              <w:left w:val="nil"/>
              <w:bottom w:val="single" w:sz="6" w:space="0" w:color="auto"/>
              <w:right w:val="single" w:sz="6" w:space="0" w:color="auto"/>
            </w:tcBorders>
          </w:tcPr>
          <w:p w:rsidR="000D1376" w:rsidRPr="000D1376" w:rsidRDefault="000D1376" w:rsidP="000D1376"/>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w:t>
            </w:r>
          </w:p>
        </w:tc>
        <w:tc>
          <w:tcPr>
            <w:tcW w:w="1755" w:type="dxa"/>
            <w:vMerge/>
            <w:tcBorders>
              <w:top w:val="nil"/>
              <w:left w:val="single" w:sz="6" w:space="0" w:color="auto"/>
              <w:bottom w:val="single" w:sz="6" w:space="0" w:color="auto"/>
              <w:right w:val="nil"/>
            </w:tcBorders>
          </w:tcPr>
          <w:p w:rsidR="000D1376" w:rsidRPr="000D1376" w:rsidRDefault="000D1376" w:rsidP="000D1376"/>
        </w:tc>
      </w:tr>
      <w:tr w:rsidR="000D1376" w:rsidRPr="000D1376">
        <w:trPr>
          <w:gridBefore w:val="1"/>
          <w:gridAfter w:val="1"/>
          <w:wBefore w:w="160" w:type="dxa"/>
          <w:wAfter w:w="135" w:type="dxa"/>
          <w:trHeight w:val="360"/>
        </w:trPr>
        <w:tc>
          <w:tcPr>
            <w:tcW w:w="270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Кол-во банков,      </w:t>
            </w:r>
            <w:r w:rsidRPr="000D1376">
              <w:br/>
              <w:t>предоставивших отчет</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3 459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46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3 593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47,7</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475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6,3</w:t>
            </w:r>
          </w:p>
        </w:tc>
        <w:tc>
          <w:tcPr>
            <w:tcW w:w="1755" w:type="dxa"/>
            <w:tcBorders>
              <w:top w:val="single" w:sz="6" w:space="0" w:color="auto"/>
              <w:left w:val="single" w:sz="6" w:space="0" w:color="auto"/>
              <w:bottom w:val="single" w:sz="6" w:space="0" w:color="auto"/>
              <w:right w:val="nil"/>
            </w:tcBorders>
          </w:tcPr>
          <w:p w:rsidR="000D1376" w:rsidRPr="000D1376" w:rsidRDefault="000D1376" w:rsidP="000D1376">
            <w:r w:rsidRPr="000D1376">
              <w:t>7 527</w:t>
            </w:r>
          </w:p>
        </w:tc>
      </w:tr>
      <w:tr w:rsidR="000D1376" w:rsidRPr="000D1376">
        <w:trPr>
          <w:gridBefore w:val="1"/>
          <w:wBefore w:w="160" w:type="dxa"/>
          <w:trHeight w:val="240"/>
        </w:trPr>
        <w:tc>
          <w:tcPr>
            <w:tcW w:w="270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Активы, тыс. долл.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180 118 423 </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1 000 883 353</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11,1</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7 858 672 606</w:t>
            </w:r>
          </w:p>
        </w:tc>
        <w:tc>
          <w:tcPr>
            <w:tcW w:w="81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86,9</w:t>
            </w:r>
          </w:p>
        </w:tc>
        <w:tc>
          <w:tcPr>
            <w:tcW w:w="189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9 039 674 382</w:t>
            </w:r>
          </w:p>
        </w:tc>
      </w:tr>
      <w:tr w:rsidR="000D1376" w:rsidRPr="000D1376">
        <w:trPr>
          <w:gridBefore w:val="1"/>
          <w:gridAfter w:val="1"/>
          <w:wBefore w:w="160" w:type="dxa"/>
          <w:wAfter w:w="135" w:type="dxa"/>
          <w:trHeight w:val="120"/>
        </w:trPr>
        <w:tc>
          <w:tcPr>
            <w:tcW w:w="12555" w:type="dxa"/>
            <w:gridSpan w:val="8"/>
            <w:tcBorders>
              <w:top w:val="single" w:sz="6" w:space="0" w:color="auto"/>
              <w:left w:val="nil"/>
              <w:bottom w:val="nil"/>
              <w:right w:val="nil"/>
            </w:tcBorders>
          </w:tcPr>
          <w:p w:rsidR="000D1376" w:rsidRPr="000D1376" w:rsidRDefault="000D1376" w:rsidP="000D1376"/>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Небольшой размер банков и их сильная концентрация по географическому признаку привели к тому, что в 1980-х многие американские банки обанкротились из-за проблем, связанных с просроченными кредитами. Все это говорило о необходимости консолидации и укрупнения американского банковского сектора. В 1999 г. был принят Закон о модернизации финансовых услуг (Gramm-Leach-Bliley Act), который в значительной степени снял ограничения, наложенные на банковскую и коммерческую/инвестиционную деятельность Законом Гласса-Штигалла (Glass-Steagall Act, 1933 г.), явившимся реакцией на Великую депрессию 1930-х гг. Сходные установки, разграничивающие классические банковские операции (вклады, займы) и коммерческую/инвестиционную деятельность (например, ценные бумаги), существовали и в Японии после Второй мировой войны. Именно из-за этих законов США и Японии было сложнее по сравнению с Европой проводить интеграцию банковских и прочих услуг. Благодаря дерегулированию многие барьеры между названными видами деятельности были сняты, и теперь банки и другие финансовые организации могли предоставлять своим клиентам ранее запрещенные услуги. Помимо этого были отменены ограничения на начисляемые по вкладам процентные ставки, упразднена часть налогов, что облегчило работу банкам. Таким образом, для банков процесс дерегулирования оказался двояким. С одной стороны, он позволил начать работу с новыми банковскими продуктами и услугами, а с другой - значительно обострил конкуренцию и заставил банки бороться за своих клиентов и свою нишу на рынке.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Широкое применение достижений технического прогресса позволило банкам не только расширить круг своих клиентов, но и выйти на новые рынки как с точки зрения географии, так и с точки зрения способов и спектра предлагаемых банковских продуктов. Банки произвели огромные вложения в технологическую модернизацию. Несмотря на высокие первоначальные затраты, эти нововведения позволили значительно снизить операционные расходы и ускорить процесс доставки информации и услуг клиентам. На практике это сопровождалось сокращением персонала во многих банках, а также закрытием некоторых филиалов, расходы на содержание которых были высокими.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Новые технологии позволили внедрить и новые системы коммуникации, в известном смысле заменившие раздутые и нерентабельные филиальные сети отдельных банков. Так, в Великобритании с 1980 по 1995 г. количество банкоматов возросло более чем в 7 раз - с 2422 до 15 385, а в 2004 г. их насчитывалось уже 54 400; большую популярность приобрели так называемые электронные системы перевода средств в точке продаж (EFTPOS). Значительно выросло использование пластиковых карт населением (табл. 2, 3).</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2</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Количество банкоматов на 1 млн населения</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tbl>
      <w:tblPr>
        <w:tblW w:w="0" w:type="auto"/>
        <w:tblInd w:w="135" w:type="dxa"/>
        <w:tblLayout w:type="fixed"/>
        <w:tblCellMar>
          <w:left w:w="70" w:type="dxa"/>
          <w:right w:w="70" w:type="dxa"/>
        </w:tblCellMar>
        <w:tblLook w:val="0000" w:firstRow="0" w:lastRow="0" w:firstColumn="0" w:lastColumn="0" w:noHBand="0" w:noVBand="0"/>
      </w:tblPr>
      <w:tblGrid>
        <w:gridCol w:w="2160"/>
        <w:gridCol w:w="1485"/>
        <w:gridCol w:w="1485"/>
        <w:gridCol w:w="1485"/>
        <w:gridCol w:w="1485"/>
        <w:gridCol w:w="1350"/>
        <w:gridCol w:w="135"/>
      </w:tblGrid>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Страна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2000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2001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2002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2003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2004</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Бельгия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1064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1108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1130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1204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1267</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Канада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1040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1148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1275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1395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1517</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Франция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580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605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635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679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703</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Германия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580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603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612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620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638</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Италия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549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632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683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672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682</w:t>
            </w:r>
          </w:p>
        </w:tc>
      </w:tr>
      <w:tr w:rsidR="000D1376" w:rsidRPr="000D1376">
        <w:trPr>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Япония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1123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1121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1100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1080   </w:t>
            </w:r>
          </w:p>
        </w:tc>
        <w:tc>
          <w:tcPr>
            <w:tcW w:w="1485" w:type="dxa"/>
            <w:gridSpan w:val="2"/>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нет данных</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Нидерланды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435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445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466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466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484</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Сингапур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446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435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371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371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379</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Швеция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295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289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297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299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315</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Швейцария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675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692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706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722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722</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Великобритания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563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621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688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780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909</w:t>
            </w:r>
          </w:p>
        </w:tc>
      </w:tr>
      <w:tr w:rsidR="000D1376" w:rsidRPr="000D1376">
        <w:trPr>
          <w:gridAfter w:val="1"/>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США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967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1136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1221   </w:t>
            </w:r>
          </w:p>
        </w:tc>
        <w:tc>
          <w:tcPr>
            <w:tcW w:w="1485" w:type="dxa"/>
            <w:tcBorders>
              <w:top w:val="single" w:sz="6" w:space="0" w:color="auto"/>
              <w:left w:val="single" w:sz="6" w:space="0" w:color="auto"/>
              <w:bottom w:val="single" w:sz="6" w:space="0" w:color="auto"/>
              <w:right w:val="single" w:sz="6" w:space="0" w:color="auto"/>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 xml:space="preserve">1275   </w:t>
            </w:r>
          </w:p>
        </w:tc>
        <w:tc>
          <w:tcPr>
            <w:tcW w:w="1350" w:type="dxa"/>
            <w:tcBorders>
              <w:top w:val="single" w:sz="6" w:space="0" w:color="auto"/>
              <w:left w:val="single" w:sz="6" w:space="0" w:color="auto"/>
              <w:bottom w:val="single" w:sz="6" w:space="0" w:color="auto"/>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r w:rsidRPr="000D1376">
              <w:rPr>
                <w:rFonts w:ascii="Times New Roman" w:hAnsi="Times New Roman" w:cs="Times New Roman"/>
                <w:sz w:val="28"/>
                <w:szCs w:val="28"/>
              </w:rPr>
              <w:t>1303</w:t>
            </w:r>
          </w:p>
        </w:tc>
      </w:tr>
      <w:tr w:rsidR="000D1376" w:rsidRPr="000D1376">
        <w:trPr>
          <w:gridAfter w:val="1"/>
          <w:wAfter w:w="135" w:type="dxa"/>
          <w:trHeight w:val="120"/>
        </w:trPr>
        <w:tc>
          <w:tcPr>
            <w:tcW w:w="9450" w:type="dxa"/>
            <w:gridSpan w:val="6"/>
            <w:tcBorders>
              <w:top w:val="single" w:sz="6" w:space="0" w:color="auto"/>
              <w:left w:val="nil"/>
              <w:bottom w:val="nil"/>
              <w:right w:val="nil"/>
            </w:tcBorders>
          </w:tcPr>
          <w:p w:rsidR="000D1376" w:rsidRPr="000D1376" w:rsidRDefault="000D1376" w:rsidP="000D1376">
            <w:pPr>
              <w:pStyle w:val="ConsPlusNormal"/>
              <w:widowControl/>
              <w:spacing w:line="360" w:lineRule="auto"/>
              <w:ind w:firstLine="0"/>
              <w:rPr>
                <w:rFonts w:ascii="Times New Roman" w:hAnsi="Times New Roman" w:cs="Times New Roman"/>
                <w:sz w:val="28"/>
                <w:szCs w:val="28"/>
              </w:rPr>
            </w:pPr>
          </w:p>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374427" w:rsidRDefault="00374427" w:rsidP="000D1376">
      <w:pPr>
        <w:pStyle w:val="ConsPlusNormal"/>
        <w:widowControl/>
        <w:spacing w:line="360" w:lineRule="auto"/>
        <w:ind w:firstLine="0"/>
        <w:jc w:val="right"/>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3</w:t>
      </w:r>
    </w:p>
    <w:p w:rsidR="000D1376" w:rsidRPr="000D1376" w:rsidRDefault="000D1376" w:rsidP="000D1376">
      <w:pPr>
        <w:pStyle w:val="ConsPlusNonformat"/>
        <w:widowControl/>
        <w:spacing w:line="360" w:lineRule="auto"/>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Количество платежных и дебетовых пластиковых карт,</w:t>
      </w: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выпущенных банками, тыс. ед.</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tbl>
      <w:tblPr>
        <w:tblW w:w="13120" w:type="dxa"/>
        <w:tblInd w:w="-1771" w:type="dxa"/>
        <w:tblLayout w:type="fixed"/>
        <w:tblCellMar>
          <w:left w:w="70" w:type="dxa"/>
          <w:right w:w="70" w:type="dxa"/>
        </w:tblCellMar>
        <w:tblLook w:val="0000" w:firstRow="0" w:lastRow="0" w:firstColumn="0" w:lastColumn="0" w:noHBand="0" w:noVBand="0"/>
      </w:tblPr>
      <w:tblGrid>
        <w:gridCol w:w="160"/>
        <w:gridCol w:w="2160"/>
        <w:gridCol w:w="1080"/>
        <w:gridCol w:w="1080"/>
        <w:gridCol w:w="1080"/>
        <w:gridCol w:w="1080"/>
        <w:gridCol w:w="1080"/>
        <w:gridCol w:w="1080"/>
        <w:gridCol w:w="1080"/>
        <w:gridCol w:w="1080"/>
        <w:gridCol w:w="1080"/>
        <w:gridCol w:w="945"/>
        <w:gridCol w:w="135"/>
      </w:tblGrid>
      <w:tr w:rsidR="000D1376" w:rsidRPr="000D1376">
        <w:trPr>
          <w:gridAfter w:val="1"/>
          <w:wAfter w:w="135" w:type="dxa"/>
          <w:trHeight w:val="240"/>
        </w:trPr>
        <w:tc>
          <w:tcPr>
            <w:tcW w:w="160" w:type="dxa"/>
            <w:tcBorders>
              <w:top w:val="nil"/>
              <w:left w:val="nil"/>
              <w:bottom w:val="nil"/>
              <w:right w:val="nil"/>
            </w:tcBorders>
          </w:tcPr>
          <w:p w:rsidR="000D1376" w:rsidRPr="000D1376" w:rsidRDefault="000D1376" w:rsidP="000D1376"/>
        </w:tc>
        <w:tc>
          <w:tcPr>
            <w:tcW w:w="2160" w:type="dxa"/>
            <w:vMerge w:val="restart"/>
            <w:tcBorders>
              <w:top w:val="single" w:sz="6" w:space="0" w:color="auto"/>
              <w:left w:val="nil"/>
              <w:bottom w:val="nil"/>
              <w:right w:val="single" w:sz="6" w:space="0" w:color="auto"/>
            </w:tcBorders>
          </w:tcPr>
          <w:p w:rsidR="000D1376" w:rsidRPr="000D1376" w:rsidRDefault="000D1376" w:rsidP="000D1376">
            <w:r w:rsidRPr="000D1376">
              <w:t xml:space="preserve">Страна     </w:t>
            </w:r>
          </w:p>
        </w:tc>
        <w:tc>
          <w:tcPr>
            <w:tcW w:w="5400" w:type="dxa"/>
            <w:gridSpan w:val="5"/>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Платежные карты            </w:t>
            </w:r>
          </w:p>
        </w:tc>
        <w:tc>
          <w:tcPr>
            <w:tcW w:w="5265" w:type="dxa"/>
            <w:gridSpan w:val="5"/>
            <w:tcBorders>
              <w:top w:val="single" w:sz="6" w:space="0" w:color="auto"/>
              <w:left w:val="single" w:sz="6" w:space="0" w:color="auto"/>
              <w:bottom w:val="single" w:sz="6" w:space="0" w:color="auto"/>
              <w:right w:val="nil"/>
            </w:tcBorders>
          </w:tcPr>
          <w:p w:rsidR="000D1376" w:rsidRPr="000D1376" w:rsidRDefault="000D1376" w:rsidP="000D1376">
            <w:r w:rsidRPr="000D1376">
              <w:t>Дебетовые карты</w:t>
            </w:r>
          </w:p>
        </w:tc>
      </w:tr>
      <w:tr w:rsidR="000D1376" w:rsidRPr="000D1376">
        <w:trPr>
          <w:gridBefore w:val="1"/>
          <w:gridAfter w:val="1"/>
          <w:wBefore w:w="160" w:type="dxa"/>
          <w:wAfter w:w="135" w:type="dxa"/>
          <w:trHeight w:val="240"/>
        </w:trPr>
        <w:tc>
          <w:tcPr>
            <w:tcW w:w="2160" w:type="dxa"/>
            <w:vMerge/>
            <w:tcBorders>
              <w:top w:val="nil"/>
              <w:left w:val="nil"/>
              <w:bottom w:val="single" w:sz="6" w:space="0" w:color="auto"/>
              <w:right w:val="single" w:sz="6" w:space="0" w:color="auto"/>
            </w:tcBorders>
          </w:tcPr>
          <w:p w:rsidR="000D1376" w:rsidRPr="000D1376" w:rsidRDefault="000D1376" w:rsidP="000D1376"/>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2000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2001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2002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2003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2004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2000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2001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2002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2003 </w:t>
            </w:r>
          </w:p>
        </w:tc>
        <w:tc>
          <w:tcPr>
            <w:tcW w:w="945" w:type="dxa"/>
            <w:tcBorders>
              <w:top w:val="single" w:sz="6" w:space="0" w:color="auto"/>
              <w:left w:val="single" w:sz="6" w:space="0" w:color="auto"/>
              <w:bottom w:val="single" w:sz="6" w:space="0" w:color="auto"/>
              <w:right w:val="nil"/>
            </w:tcBorders>
          </w:tcPr>
          <w:p w:rsidR="000D1376" w:rsidRPr="000D1376" w:rsidRDefault="000D1376" w:rsidP="000D1376">
            <w:r w:rsidRPr="000D1376">
              <w:t>2004</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Бельгия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13 930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13 987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14 902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15 619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15 727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10 960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10 942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11 863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12 522</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12 551</w:t>
            </w:r>
          </w:p>
        </w:tc>
      </w:tr>
      <w:tr w:rsidR="000D1376" w:rsidRPr="000D1376">
        <w:trPr>
          <w:gridBefore w:val="1"/>
          <w:gridAfter w:val="1"/>
          <w:wBefore w:w="160" w:type="dxa"/>
          <w:wAfter w:w="135"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Канада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78 000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36 000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945" w:type="dxa"/>
            <w:tcBorders>
              <w:top w:val="single" w:sz="6" w:space="0" w:color="auto"/>
              <w:left w:val="single" w:sz="6" w:space="0" w:color="auto"/>
              <w:bottom w:val="single" w:sz="6" w:space="0" w:color="auto"/>
              <w:right w:val="nil"/>
            </w:tcBorders>
          </w:tcPr>
          <w:p w:rsidR="000D1376" w:rsidRPr="000D1376" w:rsidRDefault="000D1376" w:rsidP="000D1376">
            <w:r w:rsidRPr="000D1376">
              <w:t>н/д</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Франция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36 908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39 733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41 852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44 383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45 985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36 908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39 733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41 852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44 383</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45 985</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Германия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109 450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123 900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113 351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110 719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109 586</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92 810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105 931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93 658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90 516</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89 154</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Италия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38 141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44 859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49 412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54 905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71 283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21 172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24 863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27 655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29 260</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44 263</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Япония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551 680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584 590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614 000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653 620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390 000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320 000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340 000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360 000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390 000</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390 000</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Нидерланды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26 000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27 500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28 000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28 200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28 300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21 000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22 500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22 900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22 500</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22 500</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Сингапур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5 443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5 894</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9 138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9 296</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10 133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2 982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3 078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5 913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5 801</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6 200</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Швеция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8 381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8 162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8 250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9 240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10 997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4 570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4 818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4 894</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5 574</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7 469</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Швейцария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8 358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8 691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9 131</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9 299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9 412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5 227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5 410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5 798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5 940</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6 021</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Великобритания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100 583</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110 432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122 524</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134 110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141 087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49 730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54 305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59 419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62 854</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66 776</w:t>
            </w:r>
          </w:p>
        </w:tc>
      </w:tr>
      <w:tr w:rsidR="000D1376" w:rsidRPr="000D1376">
        <w:trPr>
          <w:gridBefore w:val="1"/>
          <w:wBefore w:w="160" w:type="dxa"/>
          <w:trHeight w:val="240"/>
        </w:trPr>
        <w:tc>
          <w:tcPr>
            <w:tcW w:w="216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США, млн ед.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1 485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1 488</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1 517</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1 539</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1 524</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235</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254</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260</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263</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277 700</w:t>
            </w:r>
          </w:p>
        </w:tc>
      </w:tr>
      <w:tr w:rsidR="000D1376" w:rsidRPr="000D1376">
        <w:trPr>
          <w:gridBefore w:val="1"/>
          <w:gridAfter w:val="1"/>
          <w:wBefore w:w="160" w:type="dxa"/>
          <w:wAfter w:w="135" w:type="dxa"/>
          <w:trHeight w:val="120"/>
        </w:trPr>
        <w:tc>
          <w:tcPr>
            <w:tcW w:w="12825" w:type="dxa"/>
            <w:gridSpan w:val="11"/>
            <w:tcBorders>
              <w:top w:val="single" w:sz="6" w:space="0" w:color="auto"/>
              <w:left w:val="nil"/>
              <w:bottom w:val="nil"/>
              <w:right w:val="nil"/>
            </w:tcBorders>
          </w:tcPr>
          <w:p w:rsidR="000D1376" w:rsidRPr="000D1376" w:rsidRDefault="000D1376" w:rsidP="000D1376"/>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Самим же банкам использование новых технологий позволило помимо всего прочего улучшить системы мониторинга рисков, качественнее и надежнее собирать информацию по клиентской базе, увеличить скорость расчетов, оптимизировать операции с чеками, ценными бумагами и т.д.</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Изменения страновой и мировой экономической ситуации также оказывают непосредственное влияние на деятельность банка и его позицию по рискам. Банки обязаны оперативно реагировать на изменения в экономике и финансах, в частности на рост инфляции, изменения процентных ставок и курсов валют.</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Как известно, банки очень чувствительны к изменениям процентных ставок. Историческая и теоретическая основа банковской деятельности заключается в так называемом "финансовом посредничестве", то есть привлечении средств из секторов экономики с избытком средств (например, средств населения по вкладам) и направлении их в те сектора, где наблюдается дефицит финансирования (кредитование компаний-заемщиков). Следовательно, банки чувствительны к колебаниям процентных ставок, так как это отражается на банковских депозитах и займах. (Более подробно мы остановимся на этой теме, когда будем непосредственно говорить о риске процентных ставок и его влиянии на деятельность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то же время банки должны доказывать свою надежность и состоятельность, для чего регулирующие органы в соответствии с действующим законодательством обязывают их иметь определенный уровень капитала. Делается это с определенной целью - при неблагоприятном развитии ситуации для банка он должен быть в состоянии покрыть/выполнить взятые на себя обязательства. Конечно же, в большинстве случаев при банкротстве банк не может полностью покрыть убытки при помощи капитала, но при его нормальной деятельности показатель достаточности капитала говорит о надежности банка, его обеспеченности капиталом и готовности акционеров покрыть часть убытков за счет вложенных собственных средств.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Как уже было отмечено выше, в результате дерегулирования между банками обострилась конкуренция в области предоставляемых услуг. Теперь банки предлагают сходные услуги по практически одинаковым ценам/ставкам, поскольку законы рынка не позволяют им взимать более высокую комиссию или начислять меньший процент по вкладам в силу того, что клиент всегда может уйти к конкуренту. Оговоримся, что это относится к надежным банкам и стабильной экономической ситуации. В связи с усилившейся конкуренцией банкам приходится проводить многочисленные маркетинговые исследования и внедрять новые банковские продукты, чтобы удержать уже существующих и привлечь новых клиентов. Приходится банкам учитывать и демографические тенденции. Так, в США и многих европейских странах происходит старение населения, что вынуждает банки переключаться с кредитной деятельности в работе с физическими лицами на инвестиционные, трастовые и накопительные программы. Банки становятся более ориентированными на нужды клиентов, хотя это сопряжено с более высокими издержками и уменьшением прибыли.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Основными тенденциями последних десятилетий на рынке финансовых услуг, которые существенно повлияли на деятельность банков и заставили их произвести фундаментальные изменения в своей деятельности, стали глобализация, интернационализация, секьюритизация, появление новых банковских продуктов, а также слияние, поглощение и укрупнение банковских активов.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 развитием новых технологий банкам стало гораздо проще осуществлять свою деятельность на разных географических рынках. Многие ранее недоступные рынки стали открытыми, тем более что теперь, для того чтобы оперировать на рынках разных стран, вовсе не обязательно "физическое присутствие банка". Рынки стали ближе друг к другу, и процессы глобализации, по мнению многих экономистов, могут привести к формированию единого рынка финансовых услуг и выравниванию процентных ставок (хотя до тех пор, пока существуют региональные, страновые и экономические отличия, этот вопрос остается открытым, а следовательно, будут продолжать существовать и ценовые различия). Возможность ведения торгов в течение 24 часов в сутки в разных временных зонах позволила банкам диверсифицировать свои операции, например, с валютой и ценными бумагами, снижая таким образом риск и увеличивая ликвидность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Вследствие глобализации банки значительно увеличили долю своих операций за пределами страны регистрации. Клиенты многих банков расширили свою международную деятельность, что привело к открытию банками филиалов и дочерних структур на территории других государств и, в свою очередь, усилило конкуренцию на рынке этих стран. В связи с активной интернационализацией деятельности финансовых организаций и корпоративного сектора вновь встает вопрос о формировании единого рынка финансовых услуг и перспективе установления единых процентных ставок.</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Снижение процентных доходов банков в силу обострившейся конкуренции заставило банки искать новые способы и пути извлечения прибыли. Одним из таких стало получение непроцентного дохода, к которому относятся комиссии за ведение счета, комиссии по банковским гарантиям и аккредитивам, доходы по операциям на форексном рынке и т.д. Помимо этого, с переходом банков на начисление процентов по вкладам по плавающей ставке вместо фиксированной усилилась актуальность управления ликвидностью и риском процентных ставок. Банки начали выводить рисковые активы, наиболее подверженные риску изменения процентных ставок и с более длительным сроком погашения по сравнению с обязательствами, за баланс. Данный процесс получил название секьюритизации, когда банк группирует выданные кредиты, сходные между собой по характеристикам, и создает новый финансовый актив, под который выпускаются ценные бумаги, продающиеся сторонним инвесторам. Если банк не выступает перед новыми инвесторами гарантом по выпущенным обязательствам, то он полностью снимает с себя риск непогашения задолженности и списывает кредиты, по которым была проведена секьюритизация, со своего баланса, уменьшая при этом свою рисковую позицию и улучшая качество банковских активов.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силу вышеописанных обстоятельств банки постоянно находятся в поиске новых продуктов, большая часть которых разрабатывается на базе уже существующих с учетом потребностей и нужд клиентов. Негативной стороной данного процесса является тот факт, что такого рода продукты остаются на рынке инновационными недолго, так как конкуренты в течение очень короткого времени разрабатывают аналогичные продукты. Многие нововведения на рынке банковских продуктов также направлены на обход действующего законодательства легальным путем. Например, когда в свое время было введено требование о том, чтобы банковские операции, отражаемые на балансе банка, были полностью обеспечены капиталом, банки начали активно развивать внебалансовую деятельность, чтобы не увеличивать капитал и не уменьшать объем планируемой прибыли.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1970-х гг. началось бурное развитие рынка производных ценных бумаг (табл. 4). Появление опционов, фьючерсов, форвардных контрактов дало банкам возможность извлекать дополнительную спекулятивную прибыль и хеджироваться против изменений в курсе валют или процентных ставок. Объем этих операций стремительно рос, и во многих банках он превысил суммарную величину активов.</w:t>
      </w: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4</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Производные ценные бумаги в американских банках, тыс. долл.</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160"/>
        <w:gridCol w:w="2295"/>
        <w:gridCol w:w="1080"/>
        <w:gridCol w:w="1215"/>
        <w:gridCol w:w="1890"/>
        <w:gridCol w:w="1215"/>
        <w:gridCol w:w="2160"/>
        <w:gridCol w:w="1215"/>
        <w:gridCol w:w="2160"/>
        <w:gridCol w:w="1080"/>
      </w:tblGrid>
      <w:tr w:rsidR="000D1376" w:rsidRPr="000D1376">
        <w:trPr>
          <w:trHeight w:val="360"/>
        </w:trPr>
        <w:tc>
          <w:tcPr>
            <w:tcW w:w="140" w:type="dxa"/>
            <w:tcBorders>
              <w:top w:val="nil"/>
              <w:left w:val="nil"/>
              <w:bottom w:val="nil"/>
              <w:right w:val="nil"/>
            </w:tcBorders>
          </w:tcPr>
          <w:p w:rsidR="000D1376" w:rsidRPr="000D1376" w:rsidRDefault="000D1376" w:rsidP="000D1376"/>
        </w:tc>
        <w:tc>
          <w:tcPr>
            <w:tcW w:w="2290" w:type="dxa"/>
            <w:vMerge w:val="restart"/>
            <w:tcBorders>
              <w:top w:val="single" w:sz="6" w:space="0" w:color="auto"/>
              <w:left w:val="nil"/>
              <w:bottom w:val="nil"/>
              <w:right w:val="single" w:sz="6" w:space="0" w:color="auto"/>
            </w:tcBorders>
          </w:tcPr>
          <w:p w:rsidR="000D1376" w:rsidRPr="000D1376" w:rsidRDefault="000D1376" w:rsidP="000D1376"/>
        </w:tc>
        <w:tc>
          <w:tcPr>
            <w:tcW w:w="2295"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Активы &lt; 100 млн</w:t>
            </w:r>
            <w:r w:rsidRPr="000D1376">
              <w:br/>
              <w:t xml:space="preserve">долл.      </w:t>
            </w:r>
          </w:p>
        </w:tc>
        <w:tc>
          <w:tcPr>
            <w:tcW w:w="3105"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от 100 млн  </w:t>
            </w:r>
            <w:r w:rsidRPr="000D1376">
              <w:br/>
              <w:t xml:space="preserve">до 1 млрд долл.   </w:t>
            </w:r>
          </w:p>
        </w:tc>
        <w:tc>
          <w:tcPr>
            <w:tcW w:w="3375"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&gt; 1 млрд долл. </w:t>
            </w:r>
          </w:p>
        </w:tc>
        <w:tc>
          <w:tcPr>
            <w:tcW w:w="324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Итого</w:t>
            </w:r>
          </w:p>
        </w:tc>
      </w:tr>
      <w:tr w:rsidR="000D1376" w:rsidRPr="000D1376">
        <w:trPr>
          <w:gridBefore w:val="1"/>
          <w:wBefore w:w="135" w:type="dxa"/>
          <w:trHeight w:val="360"/>
        </w:trPr>
        <w:tc>
          <w:tcPr>
            <w:tcW w:w="2295" w:type="dxa"/>
            <w:vMerge/>
            <w:tcBorders>
              <w:top w:val="nil"/>
              <w:left w:val="nil"/>
              <w:bottom w:val="single" w:sz="6" w:space="0" w:color="auto"/>
              <w:right w:val="single" w:sz="6" w:space="0" w:color="auto"/>
            </w:tcBorders>
          </w:tcPr>
          <w:p w:rsidR="000D1376" w:rsidRPr="000D1376" w:rsidRDefault="000D1376" w:rsidP="000D1376"/>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 xml:space="preserve">активов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 xml:space="preserve">активов </w:t>
            </w:r>
          </w:p>
        </w:tc>
        <w:tc>
          <w:tcPr>
            <w:tcW w:w="216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 xml:space="preserve">активов </w:t>
            </w:r>
          </w:p>
        </w:tc>
        <w:tc>
          <w:tcPr>
            <w:tcW w:w="216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080" w:type="dxa"/>
            <w:tcBorders>
              <w:top w:val="single" w:sz="6" w:space="0" w:color="auto"/>
              <w:left w:val="single" w:sz="6" w:space="0" w:color="auto"/>
              <w:bottom w:val="single" w:sz="6" w:space="0" w:color="auto"/>
              <w:right w:val="nil"/>
            </w:tcBorders>
          </w:tcPr>
          <w:p w:rsidR="000D1376" w:rsidRPr="000D1376" w:rsidRDefault="000D1376" w:rsidP="000D1376">
            <w:r w:rsidRPr="000D1376">
              <w:t>% от</w:t>
            </w:r>
            <w:r w:rsidRPr="000D1376">
              <w:br/>
              <w:t>активов</w:t>
            </w:r>
          </w:p>
        </w:tc>
      </w:tr>
      <w:tr w:rsidR="000D1376" w:rsidRPr="000D1376">
        <w:trPr>
          <w:gridBefore w:val="1"/>
          <w:wBefore w:w="135" w:type="dxa"/>
          <w:trHeight w:val="240"/>
        </w:trPr>
        <w:tc>
          <w:tcPr>
            <w:tcW w:w="22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Производные ц/б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328 019</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н/д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8 850 905  </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0,88  </w:t>
            </w:r>
          </w:p>
        </w:tc>
        <w:tc>
          <w:tcPr>
            <w:tcW w:w="216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101 898 647 357</w:t>
            </w:r>
          </w:p>
        </w:tc>
        <w:tc>
          <w:tcPr>
            <w:tcW w:w="121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1296,6 </w:t>
            </w:r>
          </w:p>
        </w:tc>
        <w:tc>
          <w:tcPr>
            <w:tcW w:w="216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101 907 826 281</w:t>
            </w:r>
          </w:p>
        </w:tc>
        <w:tc>
          <w:tcPr>
            <w:tcW w:w="1080" w:type="dxa"/>
            <w:tcBorders>
              <w:top w:val="single" w:sz="6" w:space="0" w:color="auto"/>
              <w:left w:val="single" w:sz="6" w:space="0" w:color="auto"/>
              <w:bottom w:val="single" w:sz="6" w:space="0" w:color="auto"/>
              <w:right w:val="nil"/>
            </w:tcBorders>
          </w:tcPr>
          <w:p w:rsidR="000D1376" w:rsidRPr="000D1376" w:rsidRDefault="000D1376" w:rsidP="000D1376">
            <w:r w:rsidRPr="000D1376">
              <w:t>1127,3</w:t>
            </w:r>
          </w:p>
        </w:tc>
      </w:tr>
      <w:tr w:rsidR="000D1376" w:rsidRPr="000D1376">
        <w:trPr>
          <w:gridBefore w:val="1"/>
          <w:wBefore w:w="135" w:type="dxa"/>
          <w:trHeight w:val="120"/>
        </w:trPr>
        <w:tc>
          <w:tcPr>
            <w:tcW w:w="14310" w:type="dxa"/>
            <w:gridSpan w:val="9"/>
            <w:tcBorders>
              <w:top w:val="single" w:sz="6" w:space="0" w:color="auto"/>
              <w:left w:val="nil"/>
              <w:bottom w:val="nil"/>
              <w:right w:val="nil"/>
            </w:tcBorders>
          </w:tcPr>
          <w:p w:rsidR="000D1376" w:rsidRPr="000D1376" w:rsidRDefault="000D1376" w:rsidP="000D1376"/>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Отметим, что данная категория операций имеет высокую степень риска, и если банк окажется в неблагоприятной для себя позиции и ему придется выполнять обязательства, то он может понести существенные потери. Регулирующие органы многих стран обеспокоены данной проблемой и стараются усилить контроль за операциями банков с производными ценными бумагами.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Усилившаяся конкуренция не только со стороны местных, но и со стороны иностранных банков, снятие ограничений на деятельность различного рода кредитных организаций заставили уже существующие банки бороться за свою долю на рынке. Одним из способов такой борьбы и поддержания прибыли на определенном уровне стало слияние банков и образование банковских конгломератов как внутри страны, так и на международном рынке. Например, в Великобритании в 1972 г. существовало 456 так называемых строительных обществ (building society), а в 2002 г. их осталось всего 65, что частично объясняется большим количеством слияний, а также приобретением данными организациями статуса банков.</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Основные виды банковских рисков и управление ими</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Согласно теории банковского дела цель банковской организации, как и любой корпоративной организации, состоит в максимизации текущей стоимости банка, иными словами, максимизации рыночной стоимости акций. С этой точки зрения можно было бы предположить, что руководство банка должно инвестировать и вкладывать средства в те активы, которые приносят наибольший доход и не сопровождаются значительными затратами. В то же время вложение средств в инструменты с более высокой доходностью подразумевает принятие банком на себя дополнительного риска, поскольку основной постулат - правило инвестирования - состоит в том, что любой инвестор будет готов принять на себя дополнительный риск только при условии получения дополнительного вознаграждения, рисковой премии в качестве компенсации за принятие данного риска. Более высокая степень риска приводит к колебаниям размеров чистой прибыли банка, а следовательно, и стоимости акций. Оговоримся, что другим способом максимизации стоимости банка является снижение операционных расходов банка (что представляет собой на текущий момент довольно сложную задачу и не связано с темой статьи). Таким образом, руководству банка приходится балансировать и выбирать оптимальный уровень между доходностью банка и уровнем риска, ведь чем выше риск, тем больше вероятность недополучения прибыли, что в худшем случае может привести к банкротству. В то время как одни риски можно нигилировать или диверсифицировать, других избежать нельзя, так как они вызваны условиями рынка или связаны с категорией услуг, оказываемых банком.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 развитием управления пассивами и появлением широкого спектра новых банковских продуктов и услуг возросла необходимость адекватного и эффективного управления рисками. Управление банковскими рисками представляет собой процесс по выявлению, определению, оценке, отслеживанию и контролю рисков, связанных с деятельностью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К наиболее значимым из них относятся риск ликвидности, кредитный риск, риск изменения процентных ставок, а также проблема достаточности капитала. Процесс мониторинга и контроля рисков находится в компетенции Комитета по управлению активами и пассивами. Данный Комитет состоит из представителей кредитного, инвестиционного, финансового департаментов и казначейства. Он рассматривает операции банка в перспективе и формулирует политику банка относительно уровня возможных рисков и влияния данных рисков на потенциальный доход банка. Комитет определяет: размер обязательных и вторичных (дополнительных добровольных) резервов; какой размер средств должен быть привлечен от физических лиц и какой от банков; сколько привлеченных средств можно выдать клиентам банка в виде займов и кредитов; структуру кредитного портфеля и процентных ставок по кредитам; можно ли провести секьюритизацию части активов; риск потенциальных убытков на внутреннем и внешнем рынках, а также уровень риска по внебалансовым операциям; размер и срок инвестиций.</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Риск ликвидности</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Риск ликвидности является одним из основных и наиболее опасных банковских рисков и связан с невозможностью для банка погасить свои обязательства в краткосрочной перспективе. Он может относиться как к активам, так и к пассивам банка; выражается либо в неспособности банка быстро и своевременно реализовать определенный актив в случае необходимости, либо в отсутствии в банке достаточного количества наличности или ликвидных средств, необходимых для погашения принятых им на себя обязательств по истечении их срока. Риск ликвидности тесно взаимосвязан с риском платежеспособности и риском портфеля активов.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Исторически управление риском ликвидности предполагало концентрацию внимания на активах банка, а именно на кредитном портфеле. Кредиты выдавались в основном на срок, не превышающий сроков привлеченных вкладов, таким образом банки себя страховали на случай непредвиденного отзыва вкладчиками своих средств. Затем появилась возможность быстро и эффективно продавать ликвидные активы и использовать вырученные средства для возврата вкладчикам непредвиденно затребованных ими вкладов. Возможность реализовывать на вторичном рынке котируемые государственные долговые обязательства служит примером ситуации, когда банку не приходится с убытком для себя ликвидировать выданные долгосрочные кредиты с малым количеством платежей по их погашению.</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1950-х гг. акцент сместился на теорию ожидаемого дохода, когда банки привязывали требования по ликвидности и платежам по предоставляемым кредитам к планируемому/ожидаемому доходу заемщика, пока не сфокусировались на управлении пассивами. С развитием межбанковского рынка у банков появилась возможность привлекать там средства в случае непредвиденных проблем с ликвидностью. Мелкие банки, в отличие от крупных, не имеют полноценного доступа на межбанковский рынок, в связи с этим им приходится больше ориентироваться на краткосрочные активы и их продажу для удовлетворения требований и потребностей в ликвидности, в то время как крупные банки решают проблемы с ликвидностью путем привлечения средств, а не продажи активов.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Таким образом, управление ликвидностью затрагивает теперь обе стороны баланса. Банк определяет возможные источники ликвидности и сравнивает их со своими потребностями и возможностями, при размещении привлеченных ресурсов рассматриваются все предполагаемые оттоки вкладов и привлечение новых, а затем принимается решение, каким образом размещать активы и финансировать операции. При этом у руководства банка возникает дилемма, так как банку необходимо поддерживать хорошее качество своих активов для успешной деятельности и иметь сильную капитальную базу, что влечет за собой снижение ликвидности, но в то же время улучшает возможности банка, например, привлекать средства по низким ставкам на межбанковском рынке.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Финансовое положение банка существенно влияет на его возможность привлекать средства извне, в частности на межбанковском рынке. Банки с высоким рейтингом могут привлекать средства по более низким ставкам в силу своего рейтинга и надежности, в то время как банки с финансовыми трудностями будут вынуждены платить более высокие проценты или вообще не смогут привлечь средства. У многих проблемы с ликвидностью возникают из-за проблем с кредитным риском и/или риском изменения процентных ставок. Словом, риск ликвидности нельзя рассматривать изолированно: он тесно взаимосвязан с другими банковскими рисками, и каждый из них оказывает значительное влияние и на риск ликвидности.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Политика банка в отношении ликвидности направлена на обеспечение банка достаточными средствами для его операционных нужд, а также для удовлетворения требованиям регулирующих органов. Наиболее подвержены проблемам ликвидности банки, работающие на рынках с неустойчивым курсом валюты, высокой инфляцией, нестабильной политической и экономической обстановкой. В таких условиях неожиданные массовые оттоки вкладов и средств являются распространенным явлением.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Банковская ликвидность состоит из трех категорий: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1) высоколиквидные активы;</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2) ожидаемые денежные потоки;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3) возможность займа на рынке межбанковских кредитов.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Не расшифровывая детально, какие конкретно статьи относятся к каждой категории, ограничимся общими характеристиками первых двух категорий.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Под высоколиквидными активами подразумеваются активы, которые можно легко и быстро продать, то есть в основном государственные ценные бумаги и остатки на счетах в ЦБ РФ. Однако необходимо иметь в виду, что на ряде рынков развивающихся стран (например, Кувейта) могут возникнуть сложности с реализацией их государственных ценных бумаг, так как для них просто не существует вторичного рынка. Большинство прогрессивно настроенных регулирующих органов требуют, чтобы банки держали ликвидные средства в процентном соотношении от обязательств со сроком погашения 8 дней (обычно этот коэффициент составляет 5 - 25%). Высоколиквидные активы характеризуются низким риском неплатежа, короткими сроками погашения и большим объемом торгов на вторичном рынке.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Ожидаемые денежные потоки определяются качеством банковских активов и уровнем проблемных кредитов. Маржа процентного дохода банка является показателем по данной категории.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Многие банки и банковские аналитики уделяют большое внимание отношению кредитов к депозитам и считают его общим показателем ликвидности. Кредиты считаются наименее ликвидными активами, в то время как вклады представляют собой основной источник средств для банка. Высокий показатель соотношения говорит о неликвидности банка, так как банк использовал практически все свое стабильное финансирование под выдачу кредитов, и, соответственно, вновь выдаваемые кредиты будут финансироваться за счет покупки средств на рынке. Низкое значение показателя говорит о том, что банк располагает свободной ликвидностью и может профинансировать новые кредиты за счет вкладов.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Однако в данном показателе не учитывается структура кредитного и депозитного портфеля банка. Некоторые кредиты, например имеющие гарантию государства, либо являются краткосрочными, либо в случае необходимости могут быть легко проданы на вторичном рынке. Другие же кредиты, например долгосрочные с отсроченными платежами, можно продать лишь со значительным дисконтом. Следовательно, два банка с одинаковым соотношением кредитов и вкладов будут обладать различной кредитной ликвидностью в силу отличий их кредитных портфелей. Кроме того, в данном показателе не учитываются временные поступления процентов по кредитам и погашение основной задолженности.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То же самое можно сказать и о депозитной базе банка. Например, срочные вклады представляют собой более стабильный источник средств для банка, в силу того что они обладают меньшим риском отзыва в ближайшем будущем. С ослаблением регулирования процентных ставок и отменой ограничений на начисляемые проценты показатель отношения кредитов к вкладам значительно возрос. Если в 1970-х гг. он составил примерно 70%, то сейчас в развитых странах приближается к 100%. Это объясняется частичным оттоком вкладов в банках из-за усилившейся конкуренции. Поскольку качество кредитного портфеля и активов в целом влияет на кредитоспособность банка, то многие банки стараются избавиться от части активов и вывести их за баланс банка, то есть прибегают к секьюритизации кредитов. Особенно этот процесс популярен в США. Однако можно секьюритизировать только те кредиты, которые имеют сходные характеристики и могут быть легко реализованы на вторичном рынке. К ним относятся кредиты, выданные на покупку автомобиля, ипотека и т.д. Осуществить секьюритизацию кредитов, предоставленных юридическим лицам, например, для финансирования оборотного капитала или реализации какого-либо индивидуального проекта, представляется довольно сложным.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Таким образом, рассмотренная выше ликвидность с точки зрения активов относится к категории собственной/сохраненной ликвидности - представляет собой ликвидные средства внутри банка, отраженные на его балансе. Теперь обратимся к управлению ликвидностью со стороны пассивов. Ликвидность пассивов (приобретенная ликвидность) отражает способность банка выпускать новые долговые обязательства, привлекать средства на межбанковском рынке по разумным ценам. Данная сторона вопроса тесно связана с качеством активов банка. Банк с хорошо структурированными активами имеет возможность привлекать средства под более низкие проценты, так как инвесторы уверены в его стабильности и надежности. Банки со стабильной депозитной базой также имеют возможность более дешевого привлечения средств, поэтому банки стараются привлечь как можно больше так называемых основных депозитов/минимальную сумму банковских депозитов (core deposits). К этой категории относятся вклады, на которые не очень существенно влияют изменения в экономике, сезонные колебания и изменения в процентных ставках. Такими вкладчиками могут быть физические лица, индифферентные к небольшим различиям в процентных ставках, при условии что они довольны пакетом услуг, предоставляемых банком, или мелкие клиенты, привязанные к одному банку. Привлечение банком большого объема средств на межбанковском рынке может выразиться в более высоких ставках для самого банка и более нестабильной и непредсказуемой депозитной базе и стоимости обязательств. Следует учитывать, что разные банки имеют разную степень доступа к определенным ресурсам. Руководству банка, в свою очередь, необходимо попытаться определить гибкость реагирования разного рода ресурсов на изменения процентных ставок. (Этот вопрос тесно связан с риском, который будет рассмотрен ниже.)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Традиционные показатели ликвидности базируются на информации, содержащейся в счетах баланса банка, и измеряют ликвидность в виде финансовых коэффициентов. Помимо рассмотренного выше коэффициента, основанного на отношении кредитов к депозитам, уделяется внимание следующим показателям: отношению собственного капитала банка к общей сумме активов (характеризует достаточность капитала); минимальной суммы банковских депозитов (core deposits) к общей сумме активов; переменных депозитов (volatile deposits) к общей сумме активов (характеризует стабильность источников финансирования банка), а также ликвидных активов к общей сумме активов; краткосрочных инвестиций к общей сумме активов, чистых кредитов и лизинга к общей сумме активов (дает представление о доли ликвидных активов в активах банка). Помимо этого, банки, работающие с иностранной валютой, могут проверять и контролировать обеспеченность своих активов в иностранной валюте обязательствами в валюте, а кроме того, отношение кредитов, выданных в валюте, к привлеченным валютным средствам и депозитам в валюте.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Банки активно проводят процесс планирования ликвидности, учитывая необходимость удовлетворения требований ЦБ РФ по ликвидности и поддержания обязательных резервов, а также учитывая потребность банка в средствах исходя из ситуации на рынке, сезонных или циклических колебаний и планируемого роста и развития. В краткосрочной перспективе всегда присутствует дилемма между ликвидностью банка и его доходностью. Ведь чем более ликвиден банк, тем меньше его доходность, так как доход по высоколиквидным активам ниже, чем по другим инструментам, в силу меньшей степени риска. Поэтому банку приходится выбирать оптимальный баланс между этими двумя параметрами с учетом интересов и аспектов своей деятельности.</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Риск изменения процентных ставок</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Основой доходов банка является процентная маржа, получаемая за счет разницы между процентными ставками, взимаемыми за предоставленные кредиты, и процентами, начисляемыми по вкладам и выплачиваемыми по привлеченным средствам. В связи с этим менеджмент банка обязан отслеживать все тенденции и колебания в процентных ставках: любое изменение может позитивно или негативно отразиться на чистом процентном доходе банка, а следовательно, вызвать финансовые трудности, связанные с недостаточностью средств или потерями по кредитам. Изменения в процентных ставках влияют на структуру активов и пассивов, а также на объем средств, размещаемых и привлекаемых по тем или иным ставкам. Особенно остро этот вопрос встает со снятием ограничений по процентным ставкам, начисляемым по вкладам, в силу чего банкам уже не гарантирована положительная процентная маржа. Задача управления риском процентных ставок состоит в том, чтобы свести к минимуму негативное воздействие изменения процентных ставок на прибыль банка. В данном случае акцент делается на чистый процентный доход и маржу чистого процентного дохода, которая представляет собой отношение чистого процентного дохода к средним доходным активам.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Существует несколько методов анализа изменения процентных ставок и его влияния на деятельность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Анализ изменений процентной маржи акцентирует внимание на структуре активов и пассивов, а именно на объеме, составных частях и процентных ставках, начисляемых или уплачиваемых. Затем проводится сравнительный анализ изменений каждого из данных показателей. Данная методика хороша для анализа влияния процентных ставок, объема и структуры активов и обязательств банка в течение цикла. Однако большинство банков предпочитают отслеживать влияние изменения процентных ставок путем анализа несоответствия уровня процентных ставок по активам и пассивам банка (GAP analysis, далее - GAP) и его производной, основывающейся на продолжительности несоответствия уровня процентных ставок по активам и пассивам (duration GAP analysis, далее - DGAP).</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Суть GAP состоит в том, что он дает представление о разнице между активами и пассивами, чувствительными к изменениям процентных ставок. Данный показатель может быть статичным или динамичным. Статичный GAP фокусируется на управлении чистым процентным доходом в краткосрочной перспективе. В данном случае позиция по риску изменения процентных ставок измеряется в нескольких временных интервалах и основывается на данных баланса, взятых в какой-то определенный фиксированный момент времени. Затем полученные показатели анализируются, для того чтобы понять, в какой степени изменится чистый процентный доход банка при изменении процентных ставок, вследствие чего вырабатывается стратегия, направленная на стабилизацию и улучшение ситуации.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Дело в том, что изменения в процентных ставках могут оказать как отрицательное, так и положительное воздействие, а могут и не иметь никакого эффекта. Все зависит от чувствительности банка к меняющимся процентным ставкам, размера GAP и структуры портфеля. По знаку показателя GAP можно определить, что изменится больше с изменением ставок: процентные доходы или расходы. Положительный GAP говорит о том, что в банке преобладают чувствительные к изменениям активы, а значит, при повышении ставок процентные доходы увеличиваются больше, чем расходы, так как большее количество активов подвергается переоценке. Это ведет к увеличению чистого процентного дохода. При понижении ставок чистый доход снижается. При отрицательном GAP в банке преобладают чувствительные пассивы, и здесь будет действовать схема, противоположная предыдущей. При нулевом GAP никаких изменений не происходит, но нулевой GAP - это практически нереальная ситуация. Чем больше величина GAP, тем больше влияет изменение процентных ставок на прибыль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При положительном GAP можно говорить о том, что активы, размещенные под плавающие процентные ставки, финансируются за счет пассивов, привлеченных под фиксированные ставки. При негативном GAP ситуация обратная. Какой GAP поддерживается банком, зависит от того, что происходит со ставками (растут они, понижаются, остаются без изменений). Банки получают доходы благодаря несоответствию сроков погашения активов и пассивов, но при этом существует риск, что при изменении процентных ставок, не соответствующем прогнозам менеджмента, могут возникнуть большие убытки.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При растущих ставках банкам выгодно поддерживать положительный GAP, то есть иметь больший объем активов, размещенных по плавающей ставке и профинансированных за счет средств, привлеченных по фиксированной ставке. Но здесь банки сталкиваются с не зависящими от них обстоятельствами. При растущих ставках клиенты вряд ли будут согласны размещать свои средства под фиксированные проценты, скорее, они предпочтут плавающие ставки, чтобы извлекать выгоду от роста процентов. Выходом из данной ситуации может служить покупка средств на межбанковском рынке, но понесенные расходы могут свести на нет потенциальную выгоду. Страховать себя от риска изменения процентных ставок банки могут, поддерживая нулевой GAP. Данный способ особенно актуален в тех ситуациях, когда неизвестно, в какую сторону произойдет изменение ставок. Но в таком случае банк лишает себя спекулятивного дохода, извлекаемого из различий в сроках погашения активов и пассивов. Рассматривая этот вид дохода в качестве основного источника прибыли, банки предпочитают иметь GAP, отличный от нуля, и управлять существующим риском, в частности, путем хеджирования. Следует отметить, что переоценка активов и пассивов вследствие изменений ставок происходит не одновременно и тем более не на одинаковые суммы, что ведет к различиям в реальных потоках средств от спрогнозированных GAP. Поэтому финансирование долгосрочных активов, например ссуд под покупку недвижимости, за счет краткосрочных средств, привлеченных под плавающие проценты, является очень рискованным и требует большого внимания со стороны менеджмента.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Основным недостатком описанной методики является то, что данные берутся из баланса, а такие показатели, как процентные доходы и расходы, не учитываются. Не учитывается тот факт, что чувствительность активов и пассивов зависит от того, в какую сторону изменились ставки и на какую величину. Данную проблему можно решить, используя динамичную версию GAP, когда какая-то ставка берется за базовый сценарий и от нее рассчитываются отклонения в ту или иную сторону (например, -3%, -2%, -1%, +1%, +2%, +3%); также учитываются и внебалансовые активы. Иными словами, проводится GAP-анализ для разных вариантов, а затем для каждого из них сравниваются чистые процентные доходы и определяется, насколько указанный доход будет колебаться при разных процентных ставках. В данном варианте принимается во внимание и то, что различные внебалансовые статьи, такие, как опционы, фьючерсы и т.д., влияют на потоки, и то, что степень влияния каждого контракта зависит от превалирующих на рынке ставок, что, в свою очередь, тоже способствует изменениям в чистом процентном доходе.</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Хотя динамичный GAP является полезным инструментом для анализа риска изменения процентных ставок и позволяет учитывать влияние непараллельных изменений в ставках и разную степень процентной чувствительности, он все же сконцентрирован на оценке влияния так называемых балансовых показателей. Целью любого руководства любой компании должна быть максимизация рыночной стоимости акций/компании, поэтому полезно определить влияние меняющихся ставок на стоимость акций. Для этого применяется третья методика - DGAP, основанная на рассмотрении всех промежуточных потоков в течение "жизни" любого анализируемого актива/пассива (в отличие от GAP, когда учитывались только конечные платежи). Использовать данный метод значительно сложнее, так как он требует определения текущей стоимости будущих потоков активов и пассивов, а также средневзвешенной непродолжительности несоответствия уровня процентных ставок по активам и пассивам. Разница между средневзвешенным уровнем срока активов и средневзвешенным уровнем срока пассивов и служит показателем влияния процентных ставок на рыночную стоимость активов. Больший размер говорит о более высокой чувствительности к изменениям в процентных ставках. Основываясь на данной информации, менеджмент принимает решение либо хеджироваться, либо принять риск и попробовать извлечь спекулятивный доход из колебаний в процентных ставках. Нулевой DGAP говорит о нулевой позиции банка по данному риску, что является очень редким случаем. Банки в основном имеют короткий срок по пассивам и, будучи озабочены вопросами ликвидности, стараются размещать эти средства в активы с короткими или средними сроками, снижая таким образом свою прибыль (т.е. в очередной раз возникает конфликт между стабильностью и доходностью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DGAP также можно представить в динамичном виде. Процедура сходна с той, что применяется для динамичного GAP. Проблемы применения DGAP заключаются в том, что данная методика не учитывает полностью изменения в кривой доходности, не определяет, чем были вызваны изменения в ставках, сталкивается с трудностями в точном вычислении срока продолжительности активов и пассивов и необходимостью постоянного и трудоемкого мониторинга и корректировки структуры банковских портфелей.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Несмотря на то что задача GAP и DGAP состоит в защите банка от риска изменений процентных ставок путем приведения активов и пассивов к одному сроку продолжительности, на практике выполнение этой задачи осложняется тем, что банку необходимо удовлетворять требования и нужды своих клиентов, а не диктовать свои условия и предпочтения. Это значит, что сроки, условия и процентные ставки определяются банком не единолично, а с учетом рыночных условий и финансовых предпочтений клиентов. Следовательно, банк не может полностью сравнять сроки продолжительности по активам и пассивам, то есть его GAP и DGAP не будут равны нулю. Появление и интенсивное развитие рынка производных ценных бумаг значительно упростило и облегчило риск-менеджменту банка задачу управления риском процентных ставок. Используя производные ценные бумаги, банки могут застраховать свою позицию по риску изменения процентных ставок, обезопасив себя от связанных с этим нежелательных последствий. Такой способ защиты относится к внебалансовому методу управления данным риском и состоит в проведении контрсделки с использованием, например, фьючерсов по отношению к банковской позиции по риску. При неблагоприятном развитии сценария внебалансовые сделки будут снижать потери, возникающие из отличий в сроках погашения активов и пассивов и непараллельных неравных изменениях в цене при новых ставках, сводя убытки банка к минимуму. Однако не следует забывать, что производные бумаги сами по себе являются рисковым инструментом, финансируемым, если так можно сказать, за счет кредита. Учитывая тот факт, что регулирующие органы предъявляют менее жесткие требования и уделяют гораздо меньшее внимание контролю за внебалансовыми операциями, чем за балансовыми статьями, чрезмерное использование банком производных инструментов может привести банк к значительным потерям. Ярким примером является банкротство Barings Bank в конце 1990-х гг.</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При неправильном и непродуманном управлении риском процентных ставок может возникнуть серьезный дисбаланс между сроками погашения активов и пассивов. При этом усиливается риск ликвидности, приводя к серьезным финансовым потерям и невозможности банка привлекать средства под низкие процентные ставки, вынуждая его инвестировать в операции с высоким риском (ухудшение позиции по кредитному риску) с целью получения доходов, обеспечивающих выплату более высоких процентов по привлеченным средствам. Являясь частью единого сложного процесса управления активами и пассивами, управление риском изменения процентных ставок тесно взаимосвязано с другими составными частями управления рисками, особенно с управлением риском ликвидности, кредитным риском и риском внебалансовых операций. В связи с этим, принимая то или иное решение, менеджмент всегда должен учитывать возможные последствия своих действий в данной области и их влияние на другие сферы деятельности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Существуют и иные, не менее важные, аспекты управления банком, о которых мы уже упоминали выше, - это кредитный риск и вопрос достаточной обеспеченности капиталом. Остановимся на них подробнее.</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Кредитный риск</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Несмотря на то что в последнее время банки стали акцентировать внимание на непроцентных доходах, процентные доходы по-прежнему остаются основной составляющей доходов банка. На кредитные портфели приходится большая часть банковских активов, поэтому менеджмент банков уделяет значительное внимание данной сфере деятельности.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Рассмотрим объем кредитного портфеля американских банков (табл. 5).</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5</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Объем кредитного портфеля коммерческих банков США, тыс. долл.</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160"/>
        <w:gridCol w:w="1620"/>
        <w:gridCol w:w="1890"/>
        <w:gridCol w:w="1080"/>
        <w:gridCol w:w="1890"/>
        <w:gridCol w:w="1080"/>
        <w:gridCol w:w="1890"/>
        <w:gridCol w:w="1080"/>
        <w:gridCol w:w="1890"/>
        <w:gridCol w:w="945"/>
        <w:gridCol w:w="135"/>
      </w:tblGrid>
      <w:tr w:rsidR="000D1376" w:rsidRPr="000D1376">
        <w:trPr>
          <w:gridAfter w:val="1"/>
          <w:wAfter w:w="135" w:type="dxa"/>
          <w:trHeight w:val="360"/>
        </w:trPr>
        <w:tc>
          <w:tcPr>
            <w:tcW w:w="140" w:type="dxa"/>
            <w:tcBorders>
              <w:top w:val="nil"/>
              <w:left w:val="nil"/>
              <w:bottom w:val="nil"/>
              <w:right w:val="nil"/>
            </w:tcBorders>
          </w:tcPr>
          <w:p w:rsidR="000D1376" w:rsidRPr="000D1376" w:rsidRDefault="000D1376" w:rsidP="000D1376"/>
        </w:tc>
        <w:tc>
          <w:tcPr>
            <w:tcW w:w="1615" w:type="dxa"/>
            <w:vMerge w:val="restart"/>
            <w:tcBorders>
              <w:top w:val="single" w:sz="6" w:space="0" w:color="auto"/>
              <w:left w:val="nil"/>
              <w:bottom w:val="nil"/>
              <w:right w:val="single" w:sz="6" w:space="0" w:color="auto"/>
            </w:tcBorders>
          </w:tcPr>
          <w:p w:rsidR="000D1376" w:rsidRPr="000D1376" w:rsidRDefault="000D1376" w:rsidP="000D1376">
            <w:r w:rsidRPr="000D1376">
              <w:t xml:space="preserve">Показатель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&lt; 100 млн   </w:t>
            </w:r>
            <w:r w:rsidRPr="000D1376">
              <w:br/>
              <w:t xml:space="preserve">долл.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от 100 млн  </w:t>
            </w:r>
            <w:r w:rsidRPr="000D1376">
              <w:br/>
              <w:t xml:space="preserve">до 1 млрд долл.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Активы &gt; 1 млрд   </w:t>
            </w:r>
            <w:r w:rsidRPr="000D1376">
              <w:br/>
              <w:t xml:space="preserve">долл.        </w:t>
            </w:r>
          </w:p>
        </w:tc>
        <w:tc>
          <w:tcPr>
            <w:tcW w:w="2835"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Итого</w:t>
            </w:r>
          </w:p>
        </w:tc>
      </w:tr>
      <w:tr w:rsidR="000D1376" w:rsidRPr="000D1376">
        <w:trPr>
          <w:gridBefore w:val="1"/>
          <w:wBefore w:w="135" w:type="dxa"/>
          <w:trHeight w:val="360"/>
        </w:trPr>
        <w:tc>
          <w:tcPr>
            <w:tcW w:w="1620" w:type="dxa"/>
            <w:vMerge/>
            <w:tcBorders>
              <w:top w:val="nil"/>
              <w:left w:val="nil"/>
              <w:bottom w:val="single" w:sz="6" w:space="0" w:color="auto"/>
              <w:right w:val="single" w:sz="6" w:space="0" w:color="auto"/>
            </w:tcBorders>
          </w:tcPr>
          <w:p w:rsidR="000D1376" w:rsidRPr="000D1376" w:rsidRDefault="000D1376" w:rsidP="000D1376"/>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активов</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активов</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 от  </w:t>
            </w:r>
            <w:r w:rsidRPr="000D1376">
              <w:br/>
              <w:t>активов</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долл.    </w:t>
            </w:r>
          </w:p>
        </w:tc>
        <w:tc>
          <w:tcPr>
            <w:tcW w:w="1080"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 от</w:t>
            </w:r>
            <w:r w:rsidRPr="000D1376">
              <w:br/>
              <w:t>активов</w:t>
            </w:r>
          </w:p>
        </w:tc>
      </w:tr>
      <w:tr w:rsidR="000D1376" w:rsidRPr="000D1376">
        <w:trPr>
          <w:gridBefore w:val="1"/>
          <w:gridAfter w:val="1"/>
          <w:wBefore w:w="135" w:type="dxa"/>
          <w:wAfter w:w="135" w:type="dxa"/>
          <w:trHeight w:val="480"/>
        </w:trPr>
        <w:tc>
          <w:tcPr>
            <w:tcW w:w="162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Чистые      </w:t>
            </w:r>
            <w:r w:rsidRPr="000D1376">
              <w:br/>
              <w:t xml:space="preserve">кредиты и   </w:t>
            </w:r>
            <w:r w:rsidRPr="000D1376">
              <w:br/>
              <w:t xml:space="preserve">лизинг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110 526 558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61,36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673 853 854 </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67,33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4 527 291 942</w:t>
            </w:r>
          </w:p>
        </w:tc>
        <w:tc>
          <w:tcPr>
            <w:tcW w:w="108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57,61 </w:t>
            </w:r>
          </w:p>
        </w:tc>
        <w:tc>
          <w:tcPr>
            <w:tcW w:w="1890"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5 311 672 354</w:t>
            </w:r>
          </w:p>
        </w:tc>
        <w:tc>
          <w:tcPr>
            <w:tcW w:w="945" w:type="dxa"/>
            <w:tcBorders>
              <w:top w:val="single" w:sz="6" w:space="0" w:color="auto"/>
              <w:left w:val="single" w:sz="6" w:space="0" w:color="auto"/>
              <w:bottom w:val="single" w:sz="6" w:space="0" w:color="auto"/>
              <w:right w:val="nil"/>
            </w:tcBorders>
          </w:tcPr>
          <w:p w:rsidR="000D1376" w:rsidRPr="000D1376" w:rsidRDefault="000D1376" w:rsidP="000D1376">
            <w:r w:rsidRPr="000D1376">
              <w:t>58,76</w:t>
            </w:r>
          </w:p>
        </w:tc>
      </w:tr>
      <w:tr w:rsidR="000D1376" w:rsidRPr="000D1376">
        <w:trPr>
          <w:gridBefore w:val="1"/>
          <w:gridAfter w:val="1"/>
          <w:wBefore w:w="135" w:type="dxa"/>
          <w:wAfter w:w="135" w:type="dxa"/>
          <w:trHeight w:val="240"/>
        </w:trPr>
        <w:tc>
          <w:tcPr>
            <w:tcW w:w="1620"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Активы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180 118 423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1 000 883 353    </w:t>
            </w:r>
          </w:p>
        </w:tc>
        <w:tc>
          <w:tcPr>
            <w:tcW w:w="2970" w:type="dxa"/>
            <w:gridSpan w:val="2"/>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7 858 672 606    </w:t>
            </w:r>
          </w:p>
        </w:tc>
        <w:tc>
          <w:tcPr>
            <w:tcW w:w="2835" w:type="dxa"/>
            <w:gridSpan w:val="2"/>
            <w:tcBorders>
              <w:top w:val="single" w:sz="6" w:space="0" w:color="auto"/>
              <w:left w:val="single" w:sz="6" w:space="0" w:color="auto"/>
              <w:bottom w:val="single" w:sz="6" w:space="0" w:color="auto"/>
              <w:right w:val="nil"/>
            </w:tcBorders>
          </w:tcPr>
          <w:p w:rsidR="000D1376" w:rsidRPr="000D1376" w:rsidRDefault="000D1376" w:rsidP="000D1376">
            <w:r w:rsidRPr="000D1376">
              <w:t>9 039 674 382</w:t>
            </w:r>
          </w:p>
        </w:tc>
      </w:tr>
      <w:tr w:rsidR="000D1376" w:rsidRPr="000D1376">
        <w:trPr>
          <w:gridBefore w:val="1"/>
          <w:gridAfter w:val="1"/>
          <w:wBefore w:w="135" w:type="dxa"/>
          <w:wAfter w:w="135" w:type="dxa"/>
          <w:trHeight w:val="120"/>
        </w:trPr>
        <w:tc>
          <w:tcPr>
            <w:tcW w:w="13365" w:type="dxa"/>
            <w:gridSpan w:val="9"/>
            <w:tcBorders>
              <w:top w:val="single" w:sz="6" w:space="0" w:color="auto"/>
              <w:left w:val="nil"/>
              <w:bottom w:val="nil"/>
              <w:right w:val="nil"/>
            </w:tcBorders>
          </w:tcPr>
          <w:p w:rsidR="000D1376" w:rsidRPr="000D1376" w:rsidRDefault="000D1376" w:rsidP="000D1376"/>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Инвестиции в ценные бумаги с развитыми и стабильными фондовыми рынками имеют низкий уровень кредитного риска, к тому же во многих развитых странах банкам разрешено инвестировать в ценные бумаги только с высоким инвестиционным рейтингом. В силу этого анализ и управление кредитным риском в основном связаны с управлением кредитным портфелем банка.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Основной целью кредитной деятельности банка является выдача приносящих доход кредитов при минимуме риска. Лучше всего банки чувствуют себя в тех сферах бизнеса, где у них уже есть опыт работы и где банк в состоянии провести полноценную экспертизу отрасли и заемщиков. При выдаче кредитов перед банком стоит задача сбалансированности между качеством выдаваемых кредитов, объемом кредитного портфеля - и ликвидностью банка, достаточностью капитала, планируемой прибылью. Для ведения успешной кредитной политики банки вводят системы мониторинга, оценки и контроля качества кредитного портфеля. При этом кредитная политика банка может быть ориентирована на объем выдаваемых кредитов, текущую прибыль банка или увеличение доли банка на рынке банковского кредитования.</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При оценке потенциальных заемщиков основные факторы риска классифицируются по следующим категориям: характер, капитал, компетентность, условия и обеспечение. В западной практике данная система оценки получила название "пяти С" из-за английской буквы "С", с которой начинаются наименования всех пяти категорий.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Одним из основополагающих условий выдачи кредита должна служить уверенность банка в желании заемщика погасить свою задолженность по истечении срока. Банки проводят полный анализ финансового положения заемщика, включая проверку требуемой для кредита суммы. Банк хочет быть уверен, что выданная сумма соответствует сумме, необходимой для реализации заемщиком проекта и указанной в заявлении на выдачу кредита. Если выданная банком сумма превысит необходимую, существует вероятность того, что заемщик вложит ее в рисковые или сомнительные проекты, в результате чего может столкнуться с финансовыми трудностями, что приведет к задержке и/или невозможности погасить кредит в срок.</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 целью защиты себя от возможных потерь и недопущения большой концентрации выданных кредитов у группы заемщиков банки устанавливают лимиты на каждого заемщика или группу заемщиков, исходя из его/их финансового положения, кредитной истории и т.д. Данные лимиты позволяют банку определить сумму, невыплата которой не приведет к серьезным финансовым потерям. К другим методам защиты от кредитного риска относятся оговорки в кредитных соглашениях, позиционные лимиты и определение рейтинга по кредитам, учитывая степень их риска.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Поскольку кредиты составляют значительную часть банковской прибыли, невозвраты по ним могут значительно подорвать положение банка. Поэтому, основываясь на имеющихся показателях потерь по кредитам, банки пытаются спрогнозировать свои потери в будущем, предусмотреть возможные способы погашения данных убытков, определить оптимальный уровень резервов для погашения невозвратных кредитов. Это очень трудоемкий и ответственный процесс, ведь зачастую предсказать какие-либо события или измерить желание заемщика погасить кредит невозможно. С этой целью многие банки стараются поддерживать тесные связи со своими заемщиками, чтобы отслеживать их финансовое положение и вовремя реагировать на негативное развитие ситуации. Тесными отношениями со своими заемщиками известны, например, японские банки. Это один из факторов, которым западные экономисты объясняют большую степень использования кредитов при развитии бизнеса и инвестировании японским корпоративным сектором по сравнению с английским и американским, где основная часть финансирования изыскивается за счет собственных средств компаний, выпуска акций и долговых обязательств.</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Помимо постоянного мониторинга и контроля за состоянием заемщика, банк должен вести анализ своего кредитного портфеля, наблюдая за всеми тенденциями и особое внимание уделяя проблемным кредитам. Для этого существует целый ряд финансовых показателей, таких, как потери по кредитам; просроченные кредиты; просроченные кредиты, по которым приостановлено начисление процентов; реструктурированные кредиты; их доля в кредитном портфеле, их доля в общей сумме активов, ликвидных активов и т.д. Кроме того, должен отслеживаться ежегодный рост кредитного портфеля, коэффициент покрытия невозвратных кредитов резервами, созданными для покрытия потерь по ссудам (иногда к сумме резервов добавляется еще размер собственного капитала банка), и ряд других показателей.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Развитие внебалансовых операций и появление процесса секьюритизации можно было бы рассматривать как решение многих проблем, связанных с кредитным риском, но, как уже отмечалось выше, чтобы сгруппировать кредиты и продать их на вторичном рынке, необходимо, чтобы активы, по которым проводится секьюритизация, обладали сходными характеристиками и рассматривались потенциальными инвесторами как стабильное вложение. К таким можно отнести ипотечные кредиты, кредиты на покупку автомобилей, то есть кредиты и займы, относящиеся, скорее, к физическим лицам. Что касается корпоративных заемщиков, то здесь кредиты имеют разные характеристики в силу целей кредитования, особенностей заемщика, сферы его деятельности и т.д. В данном случае группировка представляется очень сложным и порой затратным процессом.</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Менеджмент банка должен отдавать себе полный отчет в том, что непродуманная и невзвешенная политика, например, когда в погоне за объемами или долей на рынке выдается большое количество кредитов без проведения адекватного анализа заемщиков, может привести к печальным для банка последствиям. Такого рода политика ведет к ухудшению качества активов банка. Неуплаченные проценты и/или невозвращенные кредиты влекут за собой уменьшение процентного дохода, увеличивают необходимость создания дополнительных резервов под покрытие потерь по ссудам, следствием чего является отвлечение средств, которые банк мог бы инвестировать в прибыльные операции. Если списания по невозвратным кредитам превысили сумму созданных для этих целей резервов, банк несет убытки, что приводит к проблемам с ликвидностью и ослаблению его финансового положения. Появление данного рода информации на рынке может привести к удорожанию заемных средств для банка, оттоку вкладов и депозитов, что вызовет новый виток финансовых проблем и еще больше усугубит ситуацию. Именно поэтому управление кредитным риском рассматривается как ключевой аспект управления рисками банка и находится под постоянным контролем по стороны регулирующих органов.</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Достаточность капитала</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Другим вопросом, который весьма существен для деятельности банка и который к тому же очень интересует регулирующие органы, является вопрос достаточности капитала. Достаточность капитала и его структура во многом определяют способность банка поглощать убытки и противостоять кризисным ситуациям. Чем более рискованна его политика, тем более высокий уровень достаточности капитала требуется. Многие известные западные издания стали публиковать свои рейтинги, основываясь не на размере суммарных активов, а на размере капитала кредитной организации.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Изначально показатель достаточности капитала определялся отношением капитала к суммарным активам, степень риска осуществляемых банком операций и качество активов при этом не играли никакой роли. Таким образом, два банка с совершенно разным качеством активов, а следовательно, и риском могли иметь одинаковый показатель достаточности капитала. Поэтому, когда в США банки столкнулись с проблемой сокращения маржи по своим процентным доходам, они начали совершенно спокойно осуществлять более рискованные операции, так как действующие тогда инструкции никак не оговаривали связь между достаточностью капитала и уровнем риска осуществляемых транзакций. Довольно часто требования о повышении показателя достаточности капитала выдвигались тогда, когда ситуацию уже было сложно исправить.</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 течением времени и осознанием проблемы тема адекватности капитала уровню осуществляемых банком операций и степени их риска приобрела широкую популярность. Значительным шагом в определении важности соответствия операций банка уровню капитала стало так называемое Базельское соглашение, принятое в июне 1988 г. представителями индустриально развитых стран. Базельские рекомендации Банка международных расчетов (Bank for International Settlement, или BIS) по достаточности капитала создавались для банков, осуществляющих международные операции. Для Евросоюза действует документ под названием Basel I, который является директивой и обязателен к исполнению всеми банками стран - участников ЕС. Теперь при расчете показателя достаточности капитала учитываются активы, взвешенные соответственно степени риска. Чем выше кредитный риск по активам банка, тем больше капитала требуется для обеспечения его стабильности и надежности.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Сейчас банковские операции делятся на категории по степени риска. Каждой из этих категорий исходя из степени риска присваивается коэффициент, который служит для взвешивания данной категории операций и расчета величины активов соответственно их степени риска. Чем выше риск операций каждой категории, тем большее покрытие капиталом требуется, а следовательно, выше и коэффициент. Согласно Базельскому соглашению активы и внебалансовые операции банка делятся на группы в зависимости от степени риска: 0%, 20%, 50% и 100%. Как можно догадаться, для операций с очень низким или нулевым кредитным риском, таких, как операции с государственными ценными бумагами, не требуется обеспечение капиталом. Для операций, например, с коммерческими бумагами основных фондов и коммерческих кредитов, которые относятся к 100-процентной группе риска, потребуется покрытие капиталом в полном объеме от их размера. Учитывая значимость внебалансовых операций в повседневной деятельности банка и возросшую в связи с этим степень их риска, индустриальными странами была достигнута договоренность применять такую же систему взвешивания и в отношении внебалансовых операций с целью учета их объема и степени риска при расчете достаточности капитала. Таким образом банк пытается минимизировать свой кредитный риск не только на балансе, но и вне его. Теперь при увеличении объема внебалансовых операций банки будут сравнивать возможности потенциальных доходов по этим транзакциям и потенциально упущенную прибыль, связанную с необходимостью размещения средств для увеличения капитала под возросший объем внебалансовых операций.</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Итак, был установлен минимально требуемый размер банковского капитала, формула расчета которого стала, наконец-то, привязанной к качеству активов и уровню кредитного риска. Чем выше кредитный риск, тем больше капитала необходимо банку. Собственный капитал считается при этом критической и основополагающей базой в расчетах. Требования к капиталу были стандартизированы между странами, что привело к облегчению в понимании методов учета и расчета, действовавших в разных государствах.</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Для того чтобы банк считался достаточно капитализированным, ему необходимо иметь для суммарного капитала (Tier 1 + Tier 2) показатель - 8% от активов, взвешенных по степени риска, при этом размер дополнительного капитала/капитала второго порядка (Tier 2) не должен превышать 100% от основного капитала/капитала первого порядка (Tier 1). Большинство европейских стран имеют показатель достаточности общего капитала выше 8%.</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В США в 1991 г. был принят Закон об улучшении страхования федеральных депозитов (FDICIA) с целью пересмотра действующих требований к достаточности капитала в сторону усиления значимости капитала и получения разрешения на вмешательство регулирующих органов на ранней стадии в деятельность проблемных банков. В соответствии с этим Законом были определены минимальные требования к капиталу банка: основная часть собственных средств (Tier 1) должна составлять не менее 4% от взвешенных с учетом риска активов, суммарный капитал - не менее 8%. Приняв данные требования за базовые, установили показатели, при которых банки считаются высоко капитализированными или недокапитализированными (табл. 6).</w:t>
      </w:r>
    </w:p>
    <w:p w:rsidR="000D1376" w:rsidRPr="000D1376" w:rsidRDefault="000D1376" w:rsidP="000D1376">
      <w:pPr>
        <w:pStyle w:val="ConsPlusNormal"/>
        <w:widowControl/>
        <w:spacing w:line="360" w:lineRule="auto"/>
        <w:ind w:firstLine="0"/>
        <w:jc w:val="right"/>
        <w:rPr>
          <w:rFonts w:ascii="Times New Roman" w:hAnsi="Times New Roman" w:cs="Times New Roman"/>
          <w:sz w:val="28"/>
          <w:szCs w:val="28"/>
        </w:rPr>
      </w:pPr>
      <w:r w:rsidRPr="000D1376">
        <w:rPr>
          <w:rFonts w:ascii="Times New Roman" w:hAnsi="Times New Roman" w:cs="Times New Roman"/>
          <w:sz w:val="28"/>
          <w:szCs w:val="28"/>
        </w:rPr>
        <w:t>Таблица 6</w:t>
      </w: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sidRPr="000D1376">
        <w:rPr>
          <w:rFonts w:ascii="Times New Roman" w:hAnsi="Times New Roman" w:cs="Times New Roman"/>
          <w:sz w:val="28"/>
          <w:szCs w:val="28"/>
        </w:rPr>
        <w:t>Показатели капитализации банка</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tbl>
      <w:tblPr>
        <w:tblW w:w="11205" w:type="dxa"/>
        <w:tblInd w:w="-1411" w:type="dxa"/>
        <w:tblLayout w:type="fixed"/>
        <w:tblCellMar>
          <w:left w:w="70" w:type="dxa"/>
          <w:right w:w="70" w:type="dxa"/>
        </w:tblCellMar>
        <w:tblLook w:val="0000" w:firstRow="0" w:lastRow="0" w:firstColumn="0" w:lastColumn="0" w:noHBand="0" w:noVBand="0"/>
      </w:tblPr>
      <w:tblGrid>
        <w:gridCol w:w="4995"/>
        <w:gridCol w:w="3105"/>
        <w:gridCol w:w="3105"/>
      </w:tblGrid>
      <w:tr w:rsidR="000D1376" w:rsidRPr="000D1376">
        <w:trPr>
          <w:trHeight w:val="240"/>
        </w:trPr>
        <w:tc>
          <w:tcPr>
            <w:tcW w:w="49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Степень капитализации        </w:t>
            </w:r>
          </w:p>
        </w:tc>
        <w:tc>
          <w:tcPr>
            <w:tcW w:w="310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Суммарный капитал, % </w:t>
            </w:r>
          </w:p>
        </w:tc>
        <w:tc>
          <w:tcPr>
            <w:tcW w:w="3105" w:type="dxa"/>
            <w:tcBorders>
              <w:top w:val="single" w:sz="6" w:space="0" w:color="auto"/>
              <w:left w:val="single" w:sz="6" w:space="0" w:color="auto"/>
              <w:bottom w:val="single" w:sz="6" w:space="0" w:color="auto"/>
              <w:right w:val="nil"/>
            </w:tcBorders>
          </w:tcPr>
          <w:p w:rsidR="000D1376" w:rsidRPr="000D1376" w:rsidRDefault="000D1376" w:rsidP="000D1376">
            <w:r w:rsidRPr="000D1376">
              <w:t>Tier 1, %</w:t>
            </w:r>
          </w:p>
        </w:tc>
      </w:tr>
      <w:tr w:rsidR="000D1376" w:rsidRPr="000D1376">
        <w:trPr>
          <w:trHeight w:val="240"/>
        </w:trPr>
        <w:tc>
          <w:tcPr>
            <w:tcW w:w="49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Банк хорошо/высоко капитализирован   </w:t>
            </w:r>
          </w:p>
        </w:tc>
        <w:tc>
          <w:tcPr>
            <w:tcW w:w="310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&gt;=10         </w:t>
            </w:r>
          </w:p>
        </w:tc>
        <w:tc>
          <w:tcPr>
            <w:tcW w:w="3105" w:type="dxa"/>
            <w:tcBorders>
              <w:top w:val="single" w:sz="6" w:space="0" w:color="auto"/>
              <w:left w:val="single" w:sz="6" w:space="0" w:color="auto"/>
              <w:bottom w:val="single" w:sz="6" w:space="0" w:color="auto"/>
              <w:right w:val="nil"/>
            </w:tcBorders>
          </w:tcPr>
          <w:p w:rsidR="000D1376" w:rsidRPr="000D1376" w:rsidRDefault="000D1376" w:rsidP="000D1376">
            <w:r w:rsidRPr="000D1376">
              <w:t>&gt;=6</w:t>
            </w:r>
          </w:p>
        </w:tc>
      </w:tr>
      <w:tr w:rsidR="000D1376" w:rsidRPr="000D1376">
        <w:trPr>
          <w:trHeight w:val="240"/>
        </w:trPr>
        <w:tc>
          <w:tcPr>
            <w:tcW w:w="49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Банк адекватно капитализирован       </w:t>
            </w:r>
          </w:p>
        </w:tc>
        <w:tc>
          <w:tcPr>
            <w:tcW w:w="310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&gt;=8          </w:t>
            </w:r>
          </w:p>
        </w:tc>
        <w:tc>
          <w:tcPr>
            <w:tcW w:w="3105" w:type="dxa"/>
            <w:tcBorders>
              <w:top w:val="single" w:sz="6" w:space="0" w:color="auto"/>
              <w:left w:val="single" w:sz="6" w:space="0" w:color="auto"/>
              <w:bottom w:val="single" w:sz="6" w:space="0" w:color="auto"/>
              <w:right w:val="nil"/>
            </w:tcBorders>
          </w:tcPr>
          <w:p w:rsidR="000D1376" w:rsidRPr="000D1376" w:rsidRDefault="000D1376" w:rsidP="000D1376">
            <w:r w:rsidRPr="000D1376">
              <w:t>&gt;=4</w:t>
            </w:r>
          </w:p>
        </w:tc>
      </w:tr>
      <w:tr w:rsidR="000D1376" w:rsidRPr="000D1376">
        <w:trPr>
          <w:trHeight w:val="240"/>
        </w:trPr>
        <w:tc>
          <w:tcPr>
            <w:tcW w:w="49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Банк недокапитализирован             </w:t>
            </w:r>
          </w:p>
        </w:tc>
        <w:tc>
          <w:tcPr>
            <w:tcW w:w="310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&gt;=6          </w:t>
            </w:r>
          </w:p>
        </w:tc>
        <w:tc>
          <w:tcPr>
            <w:tcW w:w="3105" w:type="dxa"/>
            <w:tcBorders>
              <w:top w:val="single" w:sz="6" w:space="0" w:color="auto"/>
              <w:left w:val="single" w:sz="6" w:space="0" w:color="auto"/>
              <w:bottom w:val="single" w:sz="6" w:space="0" w:color="auto"/>
              <w:right w:val="nil"/>
            </w:tcBorders>
          </w:tcPr>
          <w:p w:rsidR="000D1376" w:rsidRPr="000D1376" w:rsidRDefault="000D1376" w:rsidP="000D1376">
            <w:r w:rsidRPr="000D1376">
              <w:t>&gt;=3</w:t>
            </w:r>
          </w:p>
        </w:tc>
      </w:tr>
      <w:tr w:rsidR="000D1376" w:rsidRPr="000D1376">
        <w:trPr>
          <w:trHeight w:val="240"/>
        </w:trPr>
        <w:tc>
          <w:tcPr>
            <w:tcW w:w="4995" w:type="dxa"/>
            <w:tcBorders>
              <w:top w:val="single" w:sz="6" w:space="0" w:color="auto"/>
              <w:left w:val="nil"/>
              <w:bottom w:val="single" w:sz="6" w:space="0" w:color="auto"/>
              <w:right w:val="single" w:sz="6" w:space="0" w:color="auto"/>
            </w:tcBorders>
          </w:tcPr>
          <w:p w:rsidR="000D1376" w:rsidRPr="000D1376" w:rsidRDefault="000D1376" w:rsidP="000D1376">
            <w:r w:rsidRPr="000D1376">
              <w:t xml:space="preserve">Банк значительно недокапитализирован </w:t>
            </w:r>
          </w:p>
        </w:tc>
        <w:tc>
          <w:tcPr>
            <w:tcW w:w="3105" w:type="dxa"/>
            <w:tcBorders>
              <w:top w:val="single" w:sz="6" w:space="0" w:color="auto"/>
              <w:left w:val="single" w:sz="6" w:space="0" w:color="auto"/>
              <w:bottom w:val="single" w:sz="6" w:space="0" w:color="auto"/>
              <w:right w:val="single" w:sz="6" w:space="0" w:color="auto"/>
            </w:tcBorders>
          </w:tcPr>
          <w:p w:rsidR="000D1376" w:rsidRPr="000D1376" w:rsidRDefault="000D1376" w:rsidP="000D1376">
            <w:r w:rsidRPr="000D1376">
              <w:t xml:space="preserve">&lt;6          </w:t>
            </w:r>
          </w:p>
        </w:tc>
        <w:tc>
          <w:tcPr>
            <w:tcW w:w="3105" w:type="dxa"/>
            <w:tcBorders>
              <w:top w:val="single" w:sz="6" w:space="0" w:color="auto"/>
              <w:left w:val="single" w:sz="6" w:space="0" w:color="auto"/>
              <w:bottom w:val="single" w:sz="6" w:space="0" w:color="auto"/>
              <w:right w:val="nil"/>
            </w:tcBorders>
          </w:tcPr>
          <w:p w:rsidR="000D1376" w:rsidRPr="000D1376" w:rsidRDefault="000D1376" w:rsidP="000D1376">
            <w:r w:rsidRPr="000D1376">
              <w:t>&lt;3</w:t>
            </w:r>
          </w:p>
        </w:tc>
      </w:tr>
      <w:tr w:rsidR="000D1376" w:rsidRPr="000D1376">
        <w:trPr>
          <w:trHeight w:val="120"/>
        </w:trPr>
        <w:tc>
          <w:tcPr>
            <w:tcW w:w="11205" w:type="dxa"/>
            <w:gridSpan w:val="3"/>
            <w:tcBorders>
              <w:top w:val="single" w:sz="6" w:space="0" w:color="auto"/>
              <w:left w:val="nil"/>
              <w:bottom w:val="nil"/>
              <w:right w:val="nil"/>
            </w:tcBorders>
          </w:tcPr>
          <w:p w:rsidR="000D1376" w:rsidRPr="000D1376" w:rsidRDefault="000D1376" w:rsidP="000D1376"/>
        </w:tc>
      </w:tr>
    </w:tbl>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Требования регулирующих органов в отношении капитала влияют на повседневную деятельность банков. Для крупных кредитных организаций проблема увеличения капитала не стоит так остро, поскольку у них есть выход на фондовые рынки, и эти банки могут осуществить дополнительную эмиссию обыкновенных привилегированных акций или привлечь средства в виде субординированного долга. Мелкие банки в силу меньших возможностей и отсутствия известной репутации на рынке не могут в полном объеме воспользоваться данного рода рынками. Зачастую таким банкам приходится полагаться на внутренние/собственные источники пополнения капитала, например нераспределенную прибыль, которая имеет достаточно ограниченные возможности.</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Несмотря на свою положительную роль в обеспечении стабильности и надежности банка, требования минимального уровня достаточности капитала являются одновременно и сдерживающим фактором роста банковских активов. Рост активов должен поддерживаться и ростом капитала для удовлетворения требований его достаточности. Следовательно, банк может увеличивать свои активы только на определенный процент, обеспеченный его нераспределенной прибылью и возможностью выпуска нового капитала. Избежать необходимости увеличения капитала можно в тех случаях, когда банк реструктурирует свои активы и переводит их часть из более рискованной группы в группу с меньшим риском. Однако это влечет за собой уменьшение потенциальной прибыли банка, так как активы с меньшим риском имеют и более низкий доход по сравнению с операциями, имеющими более высокую степень риска.</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Базельские принципы основаны на учете только кредитного риска, но помимо него важную роль в деятельности и управлении банком играют риск изменения процентных ставок, операционный, рыночный риски, которые тоже должны быть подстрахованы капиталом. Для учета всех этих факторов и последних тенденций в определении и управлении рисками Базельский Комитет по надзору за банковской деятельностью в 2004 г. принял документ, который вступит в силу в начале 2007 г. и будет называться Basel II.</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Итак, управление банковскими рисками является необходимым компонентом успешной деятельности любой банковской организации. Это сложный процесс, многие составные части которого взаимосвязаны, и рассматривать их в изоляции не представляется возможным, потому что это ведет к принятию неправильных решений в управлении банком. Так, например, банки, сильно увлекающиеся "игрой на разнице" процентных ставок или ведущие неразумную кредитную политику, могут при неблагоприятном развитии событий столкнуться со снижением прибыли, оттоком привлеченных средств, в результате чего возникнут проблемы ликвидности. По мере развития банковского сектора, с появлением новых комплексных банковских продуктов, переходом на управление активами и пассивами возросла необходимость в продуманном и взвешенном банковском менеджменте, где немаловажную, если не ключевую, роль играет процесс определения, оценки и управления риском в контексте его взаимосвязи с другими рисками, которым подвержен банк, и влияния действий в данной сфере банковского менеджмента на другие сферы и деятельность банка в целом. Банк представляет собой единый организм, где сбой в работе какого-либо звена может вызвать необратимые последствия для всей структуры. Более того, в некоторых случаях коллапс одного банка, выступающего в роле ключевого или крупного игрока на рынке, может породить целую цепочку банкротств и даже привести к финансовому кризису.</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Pr="000D1376">
        <w:rPr>
          <w:rFonts w:ascii="Times New Roman" w:hAnsi="Times New Roman" w:cs="Times New Roman"/>
          <w:sz w:val="28"/>
          <w:szCs w:val="28"/>
        </w:rPr>
        <w:t>Литература</w:t>
      </w:r>
    </w:p>
    <w:p w:rsidR="000D1376" w:rsidRPr="000D1376" w:rsidRDefault="000D1376" w:rsidP="000D1376">
      <w:pPr>
        <w:pStyle w:val="ConsPlusNonformat"/>
        <w:widowControl/>
        <w:spacing w:line="360" w:lineRule="auto"/>
        <w:jc w:val="both"/>
        <w:rPr>
          <w:rFonts w:ascii="Times New Roman" w:hAnsi="Times New Roman" w:cs="Times New Roman"/>
          <w:sz w:val="28"/>
          <w:szCs w:val="28"/>
        </w:rPr>
      </w:pP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1. Ангбазо Л., Коммерческий банк, чистая процентная маржа, риск невозврата и внебалансовые операции // Journal of Banking and Finance. 1997. January.</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2. Базельский Комитет по банковскому надзору. Отчет о саммите большой семерки. Банк международных расчетов. Май 2005.</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3. Брюйер Э., Джексон В.Е., Мозер Дж.Т. Ценность использования процентных производных ценных бумаг в управлении риском в американских банковских организациях. N 25. Вып. 3. III квартал 2001 г.</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lang w:val="en-US"/>
        </w:rPr>
      </w:pPr>
      <w:r w:rsidRPr="000D1376">
        <w:rPr>
          <w:rFonts w:ascii="Times New Roman" w:hAnsi="Times New Roman" w:cs="Times New Roman"/>
          <w:sz w:val="28"/>
          <w:szCs w:val="28"/>
        </w:rPr>
        <w:t xml:space="preserve">4. Голин Дж. Пособие по анализу кредитной деятельности банка. </w:t>
      </w:r>
      <w:r w:rsidRPr="000D1376">
        <w:rPr>
          <w:rFonts w:ascii="Times New Roman" w:hAnsi="Times New Roman" w:cs="Times New Roman"/>
          <w:sz w:val="28"/>
          <w:szCs w:val="28"/>
          <w:lang w:val="en-US"/>
        </w:rPr>
        <w:t>J. Wiley &amp; Sons (Asia) Pte Ltd, 2001.</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5. Джерроу Р.А. Моделирование ценных бумаг с фиксированным доходом и процентных опционов. N.-Y.: The McGraw-Hill Companies, Inc., 1996.</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lang w:val="en-US"/>
        </w:rPr>
      </w:pPr>
      <w:r w:rsidRPr="000D1376">
        <w:rPr>
          <w:rFonts w:ascii="Times New Roman" w:hAnsi="Times New Roman" w:cs="Times New Roman"/>
          <w:sz w:val="28"/>
          <w:szCs w:val="28"/>
        </w:rPr>
        <w:t xml:space="preserve">6. Кох Т.У., МакДональд С. Банковский менеджмент. </w:t>
      </w:r>
      <w:r w:rsidRPr="000D1376">
        <w:rPr>
          <w:rFonts w:ascii="Times New Roman" w:hAnsi="Times New Roman" w:cs="Times New Roman"/>
          <w:sz w:val="28"/>
          <w:szCs w:val="28"/>
          <w:lang w:val="en-US"/>
        </w:rPr>
        <w:t>Thomson, South-Western, 2003.</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lang w:val="en-US"/>
        </w:rPr>
      </w:pPr>
      <w:r w:rsidRPr="000D1376">
        <w:rPr>
          <w:rFonts w:ascii="Times New Roman" w:hAnsi="Times New Roman" w:cs="Times New Roman"/>
          <w:sz w:val="28"/>
          <w:szCs w:val="28"/>
          <w:lang w:val="en-US"/>
        </w:rPr>
        <w:t xml:space="preserve">7. </w:t>
      </w:r>
      <w:r w:rsidRPr="000D1376">
        <w:rPr>
          <w:rFonts w:ascii="Times New Roman" w:hAnsi="Times New Roman" w:cs="Times New Roman"/>
          <w:sz w:val="28"/>
          <w:szCs w:val="28"/>
        </w:rPr>
        <w:t>Майер</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С</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Новое</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в</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корпоративных</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финансах</w:t>
      </w:r>
      <w:r w:rsidRPr="000D1376">
        <w:rPr>
          <w:rFonts w:ascii="Times New Roman" w:hAnsi="Times New Roman" w:cs="Times New Roman"/>
          <w:sz w:val="28"/>
          <w:szCs w:val="28"/>
          <w:lang w:val="en-US"/>
        </w:rPr>
        <w:t xml:space="preserve"> // European Economic Review. 1988. N 32.</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lang w:val="en-US"/>
        </w:rPr>
      </w:pPr>
      <w:r w:rsidRPr="000D1376">
        <w:rPr>
          <w:rFonts w:ascii="Times New Roman" w:hAnsi="Times New Roman" w:cs="Times New Roman"/>
          <w:sz w:val="28"/>
          <w:szCs w:val="28"/>
          <w:lang w:val="en-US"/>
        </w:rPr>
        <w:t xml:space="preserve">8. </w:t>
      </w:r>
      <w:r w:rsidRPr="000D1376">
        <w:rPr>
          <w:rFonts w:ascii="Times New Roman" w:hAnsi="Times New Roman" w:cs="Times New Roman"/>
          <w:sz w:val="28"/>
          <w:szCs w:val="28"/>
        </w:rPr>
        <w:t>Мишкин</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Ф</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Финансовые</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рынки</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и</w:t>
      </w:r>
      <w:r w:rsidRPr="000D1376">
        <w:rPr>
          <w:rFonts w:ascii="Times New Roman" w:hAnsi="Times New Roman" w:cs="Times New Roman"/>
          <w:sz w:val="28"/>
          <w:szCs w:val="28"/>
          <w:lang w:val="en-US"/>
        </w:rPr>
        <w:t xml:space="preserve"> </w:t>
      </w:r>
      <w:r w:rsidRPr="000D1376">
        <w:rPr>
          <w:rFonts w:ascii="Times New Roman" w:hAnsi="Times New Roman" w:cs="Times New Roman"/>
          <w:sz w:val="28"/>
          <w:szCs w:val="28"/>
        </w:rPr>
        <w:t>институты</w:t>
      </w:r>
      <w:r w:rsidRPr="000D1376">
        <w:rPr>
          <w:rFonts w:ascii="Times New Roman" w:hAnsi="Times New Roman" w:cs="Times New Roman"/>
          <w:sz w:val="28"/>
          <w:szCs w:val="28"/>
          <w:lang w:val="en-US"/>
        </w:rPr>
        <w:t>. Addison-Wesley, Reading, Massachusetts, 2000.</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9. Хесс А.С., Смит К.У. Аспекты секьютиризации ипотечных кредитов. 1988. Перепечатано из: Джеймс К.М., Смит К.У. Изучение финансовых институтов: коммерческие банки. N.-Y.: McGraw-Hill Inc., 1994.</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10. Чай Дж., Ельясиани И. Производные ценные бумаги и риски изменения процентных ставок и курса валют в американских банках // Journal of Financial Services Research. 1997. Октябрь - декабрь.</w:t>
      </w:r>
    </w:p>
    <w:p w:rsidR="000D1376" w:rsidRPr="000D1376" w:rsidRDefault="000D1376" w:rsidP="000D1376">
      <w:pPr>
        <w:pStyle w:val="ConsPlusNormal"/>
        <w:widowControl/>
        <w:spacing w:line="360" w:lineRule="auto"/>
        <w:ind w:firstLine="540"/>
        <w:jc w:val="both"/>
        <w:rPr>
          <w:rFonts w:ascii="Times New Roman" w:hAnsi="Times New Roman" w:cs="Times New Roman"/>
          <w:sz w:val="28"/>
          <w:szCs w:val="28"/>
        </w:rPr>
      </w:pPr>
      <w:r w:rsidRPr="000D1376">
        <w:rPr>
          <w:rFonts w:ascii="Times New Roman" w:hAnsi="Times New Roman" w:cs="Times New Roman"/>
          <w:sz w:val="28"/>
          <w:szCs w:val="28"/>
        </w:rPr>
        <w:t>Статистическая информация взята с официальных сайтов Федеральной Корпорации Страхования Депозитов, США и Банка международных расчетов.</w:t>
      </w:r>
      <w:bookmarkStart w:id="0" w:name="_GoBack"/>
      <w:bookmarkEnd w:id="0"/>
    </w:p>
    <w:sectPr w:rsidR="000D1376" w:rsidRPr="000D1376" w:rsidSect="000D1376">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0F" w:rsidRDefault="00E6710F">
      <w:r>
        <w:separator/>
      </w:r>
    </w:p>
  </w:endnote>
  <w:endnote w:type="continuationSeparator" w:id="0">
    <w:p w:rsidR="00E6710F" w:rsidRDefault="00E6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0F" w:rsidRDefault="00E6710F">
      <w:r>
        <w:separator/>
      </w:r>
    </w:p>
  </w:footnote>
  <w:footnote w:type="continuationSeparator" w:id="0">
    <w:p w:rsidR="00E6710F" w:rsidRDefault="00E6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76" w:rsidRDefault="003C3E7B" w:rsidP="00E22E1C">
    <w:pPr>
      <w:pStyle w:val="a3"/>
      <w:framePr w:wrap="auto" w:vAnchor="text" w:hAnchor="margin" w:xAlign="center" w:y="1"/>
      <w:rPr>
        <w:rStyle w:val="a5"/>
      </w:rPr>
    </w:pPr>
    <w:r>
      <w:rPr>
        <w:rStyle w:val="a5"/>
        <w:noProof/>
      </w:rPr>
      <w:t>2</w:t>
    </w:r>
  </w:p>
  <w:p w:rsidR="000D1376" w:rsidRDefault="000D1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376"/>
    <w:rsid w:val="000B730D"/>
    <w:rsid w:val="000D1376"/>
    <w:rsid w:val="00105845"/>
    <w:rsid w:val="00285A11"/>
    <w:rsid w:val="00374427"/>
    <w:rsid w:val="003C3E7B"/>
    <w:rsid w:val="00670B3C"/>
    <w:rsid w:val="007947C0"/>
    <w:rsid w:val="009F0DE3"/>
    <w:rsid w:val="00DF14F8"/>
    <w:rsid w:val="00E22E1C"/>
    <w:rsid w:val="00E6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CD85E7-D2A0-4F9F-9214-74BB58F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13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D13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D1376"/>
    <w:pPr>
      <w:widowControl w:val="0"/>
      <w:autoSpaceDE w:val="0"/>
      <w:autoSpaceDN w:val="0"/>
      <w:adjustRightInd w:val="0"/>
    </w:pPr>
    <w:rPr>
      <w:rFonts w:ascii="Arial" w:hAnsi="Arial" w:cs="Arial"/>
      <w:b/>
      <w:bCs/>
    </w:rPr>
  </w:style>
  <w:style w:type="paragraph" w:customStyle="1" w:styleId="ConsPlusCell">
    <w:name w:val="ConsPlusCell"/>
    <w:uiPriority w:val="99"/>
    <w:rsid w:val="000D1376"/>
    <w:pPr>
      <w:widowControl w:val="0"/>
      <w:autoSpaceDE w:val="0"/>
      <w:autoSpaceDN w:val="0"/>
      <w:adjustRightInd w:val="0"/>
    </w:pPr>
    <w:rPr>
      <w:rFonts w:ascii="Arial" w:hAnsi="Arial" w:cs="Arial"/>
    </w:rPr>
  </w:style>
  <w:style w:type="paragraph" w:styleId="a3">
    <w:name w:val="header"/>
    <w:basedOn w:val="a"/>
    <w:link w:val="a4"/>
    <w:uiPriority w:val="99"/>
    <w:rsid w:val="000D137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D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52288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Основные банковские риски, их взаимосвязь</vt:lpstr>
    </vt:vector>
  </TitlesOfParts>
  <Company>ОАО "НЭК"</Company>
  <LinksUpToDate>false</LinksUpToDate>
  <CharactersWithSpaces>61339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банковские риски, их взаимосвязь</dc:title>
  <dc:subject/>
  <dc:creator>pto5</dc:creator>
  <cp:keywords/>
  <dc:description/>
  <cp:lastModifiedBy>admin</cp:lastModifiedBy>
  <cp:revision>2</cp:revision>
  <dcterms:created xsi:type="dcterms:W3CDTF">2014-03-01T12:58:00Z</dcterms:created>
  <dcterms:modified xsi:type="dcterms:W3CDTF">2014-03-01T12:58:00Z</dcterms:modified>
</cp:coreProperties>
</file>