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A" w:rsidRPr="00FC7EF6" w:rsidRDefault="00B62B0A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FC7EF6">
        <w:rPr>
          <w:b/>
          <w:color w:val="000000"/>
          <w:sz w:val="28"/>
          <w:szCs w:val="32"/>
        </w:rPr>
        <w:t>Реферат</w:t>
      </w:r>
    </w:p>
    <w:p w:rsidR="00A71F17" w:rsidRPr="00FC7EF6" w:rsidRDefault="00A71F17" w:rsidP="00A71F1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71F17" w:rsidRPr="00FC7EF6" w:rsidRDefault="00A71F17" w:rsidP="00A71F17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32"/>
        </w:rPr>
      </w:pPr>
      <w:r w:rsidRPr="00FC7EF6">
        <w:rPr>
          <w:rFonts w:ascii="Times New Roman" w:hAnsi="Times New Roman"/>
          <w:color w:val="000000"/>
          <w:kern w:val="0"/>
          <w:szCs w:val="32"/>
        </w:rPr>
        <w:t>Основные этапы разработки, внедрения и подготовки производства гибких производственных систем</w:t>
      </w:r>
    </w:p>
    <w:p w:rsidR="00C13A9F" w:rsidRPr="00FC7EF6" w:rsidRDefault="00A71F17" w:rsidP="00A71F17">
      <w:pPr>
        <w:pStyle w:val="1"/>
        <w:keepNext w:val="0"/>
        <w:numPr>
          <w:ilvl w:val="0"/>
          <w:numId w:val="13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kern w:val="0"/>
          <w:szCs w:val="32"/>
        </w:rPr>
      </w:pPr>
      <w:r w:rsidRPr="00FC7EF6">
        <w:rPr>
          <w:rFonts w:ascii="Times New Roman" w:hAnsi="Times New Roman"/>
          <w:color w:val="000000"/>
          <w:kern w:val="0"/>
          <w:szCs w:val="32"/>
        </w:rPr>
        <w:br w:type="page"/>
      </w:r>
      <w:r w:rsidR="00C13A9F" w:rsidRPr="00FC7EF6">
        <w:rPr>
          <w:rFonts w:ascii="Times New Roman" w:hAnsi="Times New Roman"/>
          <w:color w:val="000000"/>
          <w:kern w:val="0"/>
          <w:szCs w:val="32"/>
        </w:rPr>
        <w:t>Основные этапы внедрения ГПС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Основными этапами создания ГПС являются: пред проектное обследование; разработка технического задания (ТЗ); разработка технического проекта; разработка рабочего проекта; внедрение.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Предпроектное обследование. Пред проектное обследование включает в свой состав следующие этапы: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1)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сбор и анализ исходных данных о выпускаемой продукции;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2) предварительное определение состава и специализации цехов основного производства;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3) установление состава и специализация производственных участков,</w:t>
      </w:r>
    </w:p>
    <w:p w:rsidR="00A71F17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4) разработка групповых маршрутных технологических процессов и расчет количества оборудования;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5) определение организационной структуры производственных участков;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6) окончательное установление состава и специализации цехов основного производства.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 первом этапе осуществляется анализ состава выпускаемых предприятием изделий; отбор изделий, перспективных для производства; расчет подетальной годовой программы; анализ и уточнение типа заготовок и маршрутов изготовления деталей по выдаче производств; установление номенклатуры деталей по видам производств; их классификация и анализ по основным конструктивно-технологическим признакам.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 втором этапе производится группирование деталей по конструктивно-технологическим признакам для предварительного определения состава и специализации цехов основного производства, в том числе подетальной специализации, а также рационального уровня предметной замкнутости (по деталям и изделиям) цехов на основе проведенного анализа выпускаемой продукции. Работы по этапу завершаются распределением номенклатуры деталей и сборочных единиц по цехам основного производства.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 третьем этапе определяется состав и специализация производственных участков в каждом цехе основного производства на основе преобладающей формы подетально-групповой специализации. Для установления подетальной специализации групповых участков производится группирование деталей в пределах номенклатуры цеха. Работы завершаются распределением номенклатуры деталей производственным участкам с учетом всех факторов, в том числе и нормы по управляемости.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 четвертом этапе обеспечивается отработка деталей на технологичность, исходя из условий их совместной обработки. Повышение технологичности реализуется на основе унификации конструктивных элементов и параметров деталей, наиболее влияющих на технологический процесс и средства технологического оснащения. После чего производится выбор деталей представителей или формирование комплексных деталей. На каждую деталь-представитель (комплексную деталь) разрабатывается маршрутный технологический процесс, являющийся групповым процессом изготовления остальных деталей группы. Далее, после укрупненного нормирования трудоемкости, производится расчет количества и загрузки технологического оборудования.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 пятом этапе определяется рациональная структура производственных участков посредством группирования деталей по общности технологических процессов и операций. При группировании выявляется возможность создания групповых поточных линий, подетально-замкнутых микроучастков и специализация отдельных рабочих мест. Одновременно с этим принимаются предварительные решения по технологическим планировкам.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 шестом этапе принимается решение по компоновке и специализации цехов основного производства на основе информации, полученной в результате формирования производственных участков, производится расчет расхода основных и вспомогательных материалов, заготовок, полуфабрикатов, энергии внутрицехового грузооборота; определение состава вспомогательных цехов и служб и других основных параметров цехов основного производства, а также технико-экономическим обоснованием организационно-технической структуры производственной системы.</w:t>
      </w:r>
    </w:p>
    <w:p w:rsidR="00C13A9F" w:rsidRPr="00FC7EF6" w:rsidRDefault="00C13A9F" w:rsidP="00A71F17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Когда целесообразность реорганизации производственной системы установлена,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разрабатывается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план дальнейших работ по проектированию и внедрению элементов ГПС и разрабатывается ТЗ на создание подразделений ГПС.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Техническое задание. ТЗ является, исходным документом для создания подразделений ГПС. Оно разрабатывается на основе материалов предпроектного обследования и технико-экономического обоснования, прилагаемых к заданию.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ТЗ определяет:</w:t>
      </w:r>
    </w:p>
    <w:p w:rsidR="00C13A9F" w:rsidRPr="00FC7EF6" w:rsidRDefault="00C13A9F" w:rsidP="00A71F17">
      <w:pPr>
        <w:numPr>
          <w:ilvl w:val="0"/>
          <w:numId w:val="11"/>
        </w:numPr>
        <w:shd w:val="clear" w:color="000000" w:fill="auto"/>
        <w:tabs>
          <w:tab w:val="clear" w:pos="360"/>
          <w:tab w:val="num" w:pos="92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назначение и состав задач, решаемых в подразделениях ГПС;</w:t>
      </w:r>
    </w:p>
    <w:p w:rsidR="00C13A9F" w:rsidRPr="00FC7EF6" w:rsidRDefault="00C13A9F" w:rsidP="00A71F17">
      <w:pPr>
        <w:numPr>
          <w:ilvl w:val="0"/>
          <w:numId w:val="11"/>
        </w:numPr>
        <w:shd w:val="clear" w:color="000000" w:fill="auto"/>
        <w:tabs>
          <w:tab w:val="clear" w:pos="360"/>
          <w:tab w:val="num" w:pos="92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основные технике-экономические показатели;</w:t>
      </w:r>
    </w:p>
    <w:p w:rsidR="00C13A9F" w:rsidRPr="00FC7EF6" w:rsidRDefault="00C13A9F" w:rsidP="00A71F17">
      <w:pPr>
        <w:numPr>
          <w:ilvl w:val="0"/>
          <w:numId w:val="11"/>
        </w:numPr>
        <w:shd w:val="clear" w:color="000000" w:fill="auto"/>
        <w:tabs>
          <w:tab w:val="clear" w:pos="360"/>
          <w:tab w:val="num" w:pos="92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требования к реализуемым подсистемам;</w:t>
      </w:r>
    </w:p>
    <w:p w:rsidR="00C13A9F" w:rsidRPr="00FC7EF6" w:rsidRDefault="00C13A9F" w:rsidP="00A71F17">
      <w:pPr>
        <w:numPr>
          <w:ilvl w:val="0"/>
          <w:numId w:val="11"/>
        </w:numPr>
        <w:shd w:val="clear" w:color="000000" w:fill="auto"/>
        <w:tabs>
          <w:tab w:val="clear" w:pos="360"/>
          <w:tab w:val="num" w:pos="92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требования к техническому, организационному, информационному и программному обеспечению;</w:t>
      </w:r>
    </w:p>
    <w:p w:rsidR="00C13A9F" w:rsidRPr="00FC7EF6" w:rsidRDefault="00C13A9F" w:rsidP="00A71F17">
      <w:pPr>
        <w:numPr>
          <w:ilvl w:val="0"/>
          <w:numId w:val="11"/>
        </w:numPr>
        <w:shd w:val="clear" w:color="000000" w:fill="auto"/>
        <w:tabs>
          <w:tab w:val="clear" w:pos="360"/>
          <w:tab w:val="num" w:pos="927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состав, содержание и порядок проведения работ.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ТЗ состоит из вводной части, технических требований, стадий разработки и внедрения, рекомендаций по использованию проектной документации, приложений.</w:t>
      </w:r>
    </w:p>
    <w:p w:rsidR="00C13A9F" w:rsidRPr="00FC7EF6" w:rsidRDefault="00C13A9F" w:rsidP="00A71F17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Технические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требования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обязательно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должны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включать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следующие разделы: технология и оборудование; организация производства и труда; автоматизированная система управления; автоматизированная система под-- готовки производства; требования к помещениям.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Технический проект. Технический проект представляет собой совокупность документов, которые должны содержать окончательные технические решения, дающие полное представление о структуре, устройстве и работе ГПС, и исходные данные для разработки рабочей документации.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Основанием для разработки технического проекта является ТЗ, согласованное со всеми соисполнителями работ и с предприятием-заказчиком и утвержденное в установленном порядке.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Технический проект состоит из следующих разделов: вводная часть; технология и оборудование; организация производства и труда; автоматизированная транспортно-накопительная система; робототехнические комплексы; автоматизированная система управления; автоматизированная система технологической подготовки производства; технико-экономические показатели.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Каждый из разделов проекта сопровождается пояснительной запиской и приложениями. Конструкторская документация разделов оформляется в соответствии с требованиями ЕСКД.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Все документы, разработанные на этапе технического проекта, включаются в ведомость технического проекта, которая разрабатывается головным предприятием-разработчиком в соответствии с ГОСТ 2.106-68.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Согласованный всеми соисполнителями, рассмотренный и утвержденный в установленном порядке, технический проект передается предприятию-заказчику и соисполнителям работ.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Рабочий проект.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Рабочая техническая документация разрабатывается на основе технического проекта системы и соответствующих ему технических заданий.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Она охватывает техническое, организационное, информационное и программное обеспечение и может состоять из технологической, конструкторской, программной и строительно-монтажной документации.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Рабочая документация должна обладать полнотой описания, достаточной для комплектации, изготовления, монтажа, отладки, функционирования[ и эксплуатации ГАП.</w:t>
      </w:r>
    </w:p>
    <w:p w:rsidR="00A71F17" w:rsidRPr="00FC7EF6" w:rsidRDefault="006C18B9" w:rsidP="00A71F17">
      <w:pPr>
        <w:numPr>
          <w:ilvl w:val="0"/>
          <w:numId w:val="13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FC7EF6">
        <w:rPr>
          <w:b/>
          <w:color w:val="000000"/>
          <w:sz w:val="28"/>
          <w:szCs w:val="32"/>
        </w:rPr>
        <w:br w:type="page"/>
      </w:r>
      <w:r w:rsidR="00C13A9F" w:rsidRPr="00FC7EF6">
        <w:rPr>
          <w:b/>
          <w:color w:val="000000"/>
          <w:sz w:val="28"/>
          <w:szCs w:val="32"/>
        </w:rPr>
        <w:t>Внедрение ГПС</w:t>
      </w:r>
    </w:p>
    <w:p w:rsidR="00A71F17" w:rsidRPr="00FC7EF6" w:rsidRDefault="00A71F17" w:rsidP="00A71F1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Внедрение ГПС происходит на основе сетевых графиков определяющих этапы его внедрения и разрабатываемых предприятием-заказчиком при подготовке ТЗ и уточняемых на стадии технического проекта.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Основным при внедрении ГПС является наиболее быстрое достижение</w:t>
      </w:r>
      <w:r w:rsidR="00A71F17" w:rsidRPr="00FC7EF6">
        <w:rPr>
          <w:color w:val="000000"/>
          <w:sz w:val="28"/>
          <w:szCs w:val="32"/>
        </w:rPr>
        <w:t xml:space="preserve"> </w:t>
      </w:r>
      <w:r w:rsidRPr="00FC7EF6">
        <w:rPr>
          <w:color w:val="000000"/>
          <w:sz w:val="28"/>
          <w:szCs w:val="32"/>
        </w:rPr>
        <w:t>технико-экономических показателей.</w:t>
      </w:r>
    </w:p>
    <w:p w:rsidR="00A71F17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Работы по внедрению ГПС состоят из следующих основных этапов: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к</w:t>
      </w:r>
      <w:r w:rsidRPr="00FC7EF6">
        <w:rPr>
          <w:color w:val="000000"/>
          <w:sz w:val="28"/>
          <w:szCs w:val="32"/>
        </w:rPr>
        <w:t>омплектация, включающая оформление заявок на комплектующие материалы, оборудование, средства ВТ, получение и реализация фондов;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и</w:t>
      </w:r>
      <w:r w:rsidRPr="00FC7EF6">
        <w:rPr>
          <w:color w:val="000000"/>
          <w:sz w:val="28"/>
          <w:szCs w:val="32"/>
        </w:rPr>
        <w:t>зготовление технических средств и оснастки;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с</w:t>
      </w:r>
      <w:r w:rsidRPr="00FC7EF6">
        <w:rPr>
          <w:color w:val="000000"/>
          <w:sz w:val="28"/>
          <w:szCs w:val="32"/>
        </w:rPr>
        <w:t>троительно-монтажные работы, связанные с подготовкой помещений, кабельных каналов, фундаментов оборудования, монтажом техническихсредств ;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п</w:t>
      </w:r>
      <w:r w:rsidRPr="00FC7EF6">
        <w:rPr>
          <w:color w:val="000000"/>
          <w:sz w:val="28"/>
          <w:szCs w:val="32"/>
        </w:rPr>
        <w:t>одбор и обучение обслуживающего персонала;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п</w:t>
      </w:r>
      <w:r w:rsidRPr="00FC7EF6">
        <w:rPr>
          <w:color w:val="000000"/>
          <w:sz w:val="28"/>
          <w:szCs w:val="32"/>
        </w:rPr>
        <w:t>усконаладочные работы, включающие наладку оборудования и оснастки, отладку программ управления технологического оборудования и технологического процесса в автономном режиме, отладку программного обеспечения и комплексную отладку ГПС;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с</w:t>
      </w:r>
      <w:r w:rsidRPr="00FC7EF6">
        <w:rPr>
          <w:color w:val="000000"/>
          <w:sz w:val="28"/>
          <w:szCs w:val="32"/>
        </w:rPr>
        <w:t>дача подразделений ГПС по специальной программе приемо-сдаточных испытаний в опытную эксплуатацию, при которой проводят отработку программ и технических средств, определение их эксплуатационных характеристик, корректировку эксплуатационной документации и установление технико-экономических показателей;</w:t>
      </w:r>
    </w:p>
    <w:p w:rsidR="00A71F17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aps/>
          <w:color w:val="000000"/>
          <w:sz w:val="28"/>
          <w:szCs w:val="32"/>
        </w:rPr>
        <w:t>к</w:t>
      </w:r>
      <w:r w:rsidRPr="00FC7EF6">
        <w:rPr>
          <w:color w:val="000000"/>
          <w:sz w:val="28"/>
          <w:szCs w:val="32"/>
        </w:rPr>
        <w:t>орректировка технологической, конструкторской и строительно-монтажной документации по результатам внедрения и сдача ее в архив ;</w:t>
      </w:r>
    </w:p>
    <w:p w:rsidR="00A71F17" w:rsidRPr="00FC7EF6" w:rsidRDefault="00A71F17" w:rsidP="00A71F17">
      <w:pPr>
        <w:numPr>
          <w:ilvl w:val="0"/>
          <w:numId w:val="13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FC7EF6">
        <w:rPr>
          <w:b/>
          <w:caps/>
          <w:color w:val="000000"/>
          <w:sz w:val="28"/>
          <w:szCs w:val="32"/>
        </w:rPr>
        <w:br w:type="page"/>
      </w:r>
      <w:r w:rsidR="00C13A9F" w:rsidRPr="00FC7EF6">
        <w:rPr>
          <w:b/>
          <w:caps/>
          <w:color w:val="000000"/>
          <w:sz w:val="28"/>
          <w:szCs w:val="32"/>
        </w:rPr>
        <w:t>с</w:t>
      </w:r>
      <w:r w:rsidR="00C13A9F" w:rsidRPr="00FC7EF6">
        <w:rPr>
          <w:b/>
          <w:color w:val="000000"/>
          <w:sz w:val="28"/>
          <w:szCs w:val="32"/>
        </w:rPr>
        <w:t>дача ГПС в промышленную эксплуатацию</w:t>
      </w:r>
    </w:p>
    <w:p w:rsidR="00A71F17" w:rsidRPr="00FC7EF6" w:rsidRDefault="00A71F17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13A9F" w:rsidRPr="00FC7EF6" w:rsidRDefault="00C13A9F" w:rsidP="00A71F17">
      <w:p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Наиболее ответственными являются этапы опытной эксплуатации и сдача ГПС в промышленную эксплуатацию.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В промышленную эксплуатацию ГПС принимается комиссией после проверки технической документации, соответствия комплекта ТЗ и документации, проверки функционирования, оценки технического уровня и эффективности работы, определения готовности предприятия к эксплуатации ГПС.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По результатам приемки в промышленную эксплуатацию составляется акт внедрения. К нему прикладывается расчет экономической эффективности, протоколы испытаний и план мероприятий по устранению замечавши приемочной комиссии.</w:t>
      </w:r>
    </w:p>
    <w:p w:rsidR="00B62B0A" w:rsidRPr="00FC7EF6" w:rsidRDefault="00B62B0A" w:rsidP="00A71F1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C13A9F" w:rsidRPr="00FC7EF6" w:rsidRDefault="00C13A9F" w:rsidP="00A71F17">
      <w:pPr>
        <w:numPr>
          <w:ilvl w:val="0"/>
          <w:numId w:val="13"/>
        </w:numPr>
        <w:shd w:val="clear" w:color="000000" w:fill="auto"/>
        <w:tabs>
          <w:tab w:val="left" w:pos="528"/>
        </w:tabs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FC7EF6">
        <w:rPr>
          <w:b/>
          <w:color w:val="000000"/>
          <w:sz w:val="28"/>
          <w:szCs w:val="32"/>
        </w:rPr>
        <w:t>Тенденции развития и новые разработки систем ЧПУ</w:t>
      </w:r>
    </w:p>
    <w:p w:rsidR="00C13A9F" w:rsidRPr="00FC7EF6" w:rsidRDefault="00C13A9F" w:rsidP="00A71F17">
      <w:pPr>
        <w:shd w:val="clear" w:color="000000" w:fill="auto"/>
        <w:tabs>
          <w:tab w:val="left" w:pos="528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13A9F" w:rsidRPr="00FC7EF6" w:rsidRDefault="00C13A9F" w:rsidP="00A71F17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 xml:space="preserve">Стандартным носителем, используемым в СЧПУ для хранения управляющих программ обработки деталей, до 1990г. была перфолента шириной </w:t>
      </w:r>
      <w:smartTag w:uri="urn:schemas-microsoft-com:office:smarttags" w:element="metricconverter">
        <w:smartTagPr>
          <w:attr w:name="ProductID" w:val="1 дюйм"/>
        </w:smartTagPr>
        <w:r w:rsidRPr="00FC7EF6">
          <w:rPr>
            <w:color w:val="000000"/>
            <w:sz w:val="28"/>
            <w:szCs w:val="32"/>
          </w:rPr>
          <w:t>1 дюйм</w:t>
        </w:r>
      </w:smartTag>
      <w:r w:rsidRPr="00FC7EF6">
        <w:rPr>
          <w:color w:val="000000"/>
          <w:sz w:val="28"/>
          <w:szCs w:val="32"/>
        </w:rPr>
        <w:t>. По мере все более широкого применения ЭВМ в процессах с ЧПУ в настоящее время она заменена таким носителем, который лучше совместим с современными вычислительными системами, в частности дисками.</w:t>
      </w:r>
    </w:p>
    <w:p w:rsidR="00C13A9F" w:rsidRPr="00FC7EF6" w:rsidRDefault="00C13A9F" w:rsidP="00A71F17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FC7EF6">
        <w:rPr>
          <w:bCs/>
          <w:color w:val="000000"/>
          <w:sz w:val="28"/>
          <w:szCs w:val="32"/>
        </w:rPr>
        <w:t>Контрольные щупы</w:t>
      </w:r>
    </w:p>
    <w:p w:rsidR="00A71F17" w:rsidRPr="00FC7EF6" w:rsidRDefault="00C13A9F" w:rsidP="00A71F17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В современных системах станков с ЧПУ становится все более обычным использование контрольных щупов в процессе обработки. Эти контрольные щупы представляют собой сложные индикаторы с градуированной шкалой; их можно устанавливать в шпинделе станка.</w:t>
      </w:r>
    </w:p>
    <w:p w:rsidR="00C13A9F" w:rsidRPr="00FC7EF6" w:rsidRDefault="00C13A9F" w:rsidP="00A71F17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Типичные применения контрольных щупов охватывают следующие области:</w:t>
      </w:r>
    </w:p>
    <w:p w:rsidR="00C13A9F" w:rsidRPr="00FC7EF6" w:rsidRDefault="00C13A9F" w:rsidP="00A71F17">
      <w:pPr>
        <w:numPr>
          <w:ilvl w:val="0"/>
          <w:numId w:val="12"/>
        </w:numPr>
        <w:shd w:val="clear" w:color="000000" w:fill="auto"/>
        <w:tabs>
          <w:tab w:val="clear" w:pos="1009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Контроль деталей в процессе обработки, пока они еще зафиксированы на рабочем столе станка.</w:t>
      </w:r>
    </w:p>
    <w:p w:rsidR="00A71F17" w:rsidRPr="00FC7EF6" w:rsidRDefault="00C13A9F" w:rsidP="00A71F17">
      <w:pPr>
        <w:numPr>
          <w:ilvl w:val="0"/>
          <w:numId w:val="12"/>
        </w:numPr>
        <w:shd w:val="clear" w:color="000000" w:fill="auto"/>
        <w:tabs>
          <w:tab w:val="clear" w:pos="1009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Автоматическая коррекция положения инструмента для компенсации погрешностей станка.</w:t>
      </w:r>
    </w:p>
    <w:p w:rsidR="00C13A9F" w:rsidRPr="00FC7EF6" w:rsidRDefault="00C13A9F" w:rsidP="00A71F17">
      <w:pPr>
        <w:numPr>
          <w:ilvl w:val="0"/>
          <w:numId w:val="12"/>
        </w:numPr>
        <w:shd w:val="clear" w:color="000000" w:fill="auto"/>
        <w:tabs>
          <w:tab w:val="clear" w:pos="1009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Определение местоположения точки отсчета на детали после первоначальной обработки с целью достижения большей точности при последующих операциях.</w:t>
      </w:r>
    </w:p>
    <w:p w:rsidR="00C13A9F" w:rsidRPr="00FC7EF6" w:rsidRDefault="00C13A9F" w:rsidP="00A71F17">
      <w:pPr>
        <w:numPr>
          <w:ilvl w:val="0"/>
          <w:numId w:val="12"/>
        </w:numPr>
        <w:shd w:val="clear" w:color="000000" w:fill="auto"/>
        <w:tabs>
          <w:tab w:val="clear" w:pos="1009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Контроль инструментов для определения состояния режущей части (например, для обнаружения сломанных зубьев фрезы).</w:t>
      </w:r>
    </w:p>
    <w:p w:rsidR="00C13A9F" w:rsidRPr="00FC7EF6" w:rsidRDefault="00C13A9F" w:rsidP="00A71F17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FC7EF6">
        <w:rPr>
          <w:bCs/>
          <w:color w:val="000000"/>
          <w:sz w:val="28"/>
          <w:szCs w:val="32"/>
        </w:rPr>
        <w:t xml:space="preserve">С 1975 по </w:t>
      </w:r>
      <w:smartTag w:uri="urn:schemas-microsoft-com:office:smarttags" w:element="metricconverter">
        <w:smartTagPr>
          <w:attr w:name="ProductID" w:val="1990 г"/>
        </w:smartTagPr>
        <w:r w:rsidRPr="00FC7EF6">
          <w:rPr>
            <w:bCs/>
            <w:color w:val="000000"/>
            <w:sz w:val="28"/>
            <w:szCs w:val="32"/>
          </w:rPr>
          <w:t>1990 г</w:t>
        </w:r>
      </w:smartTag>
      <w:r w:rsidRPr="00FC7EF6">
        <w:rPr>
          <w:bCs/>
          <w:color w:val="000000"/>
          <w:sz w:val="28"/>
          <w:szCs w:val="32"/>
        </w:rPr>
        <w:t xml:space="preserve"> были произвелены следующие существенные изменения в системах ЧПУ</w:t>
      </w:r>
    </w:p>
    <w:p w:rsidR="00A71F17" w:rsidRPr="00FC7EF6" w:rsidRDefault="00C13A9F" w:rsidP="00A71F17">
      <w:pPr>
        <w:numPr>
          <w:ilvl w:val="1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Новый набор языков, разработаны новые языки, в которых использовались концепции ограниченной геометрии.</w:t>
      </w:r>
    </w:p>
    <w:p w:rsidR="00C13A9F" w:rsidRPr="00FC7EF6" w:rsidRDefault="00C13A9F" w:rsidP="00A71F17">
      <w:pPr>
        <w:numPr>
          <w:ilvl w:val="1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Многочисленные применения. Развитая СЧПУ, не ограничиваемая только операциями механической обработки, пригодна для многих иных применений, таких, как контроль, прессовально-штамповочные работы (операции резки, гибки и т.д.), сборки и монтажа.</w:t>
      </w:r>
    </w:p>
    <w:p w:rsidR="00A71F17" w:rsidRPr="00FC7EF6" w:rsidRDefault="00C13A9F" w:rsidP="00A71F17">
      <w:pPr>
        <w:numPr>
          <w:ilvl w:val="1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Модульная конструкция. Разработаны отдельные процессоры и подпрограммы для выполнения основных функций на таких операциях, как профильное фрезерование, фрезерование выемок, позиционирование, контроль, токарная обработка и др.</w:t>
      </w:r>
    </w:p>
    <w:p w:rsidR="00C13A9F" w:rsidRPr="00FC7EF6" w:rsidRDefault="00C13A9F" w:rsidP="00A71F17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Автоматизация программирования СЧПУ. Составление управляющих программ для СЧПУ наряду с формированием траектории инструмента включает в себя выбор скоростей подачи и резания, выбор типа инструмента, задание последовательности операций и другие подробности. В развитых СЧПУ определение этих параметров автоматизировано.</w:t>
      </w:r>
    </w:p>
    <w:p w:rsidR="00C13A9F" w:rsidRPr="00FC7EF6" w:rsidRDefault="00C13A9F" w:rsidP="00A71F17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Проверка наличия помех. В программное обеспечение СЧПУ встроены подпрограммы проверки фактов возможных столкновений инструмента с зажимными приспособлениями, фиксирующими деталь, а также выявления других потенциальных помех движению.</w:t>
      </w:r>
    </w:p>
    <w:p w:rsidR="00A71F17" w:rsidRPr="00FC7EF6" w:rsidRDefault="00C13A9F" w:rsidP="00A71F17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Сопряжение с базой данных САПР/АПП. Развитые системы числового программного управления сопряжены с общей базой данных систем автоматизированного проектирования и производства. В этой базе данных содержаться информация о геометрии деталей (размеры заготовок и готовых деталей), зажимных приспособлениях, станках, имеющейся оснастке и о производственных затратах. Функция программирования СЧПУ сопрягается с более общим автоматизированным процессом машинного планирования.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Первые из них применяются в АСУ технологическим перемещением рабочих органов, деталей, инструмента и т. д. Вторые — в пневно- и гидросистемах управления АТО, а также для измерения и контроля физико-химических параметров процессов изготовления деталей и узлов МЭА.</w:t>
      </w:r>
    </w:p>
    <w:p w:rsidR="00C13A9F" w:rsidRPr="00FC7EF6" w:rsidRDefault="00C13A9F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Основными видами приводов, нашедших широкое применение в автоматах, являются гидравлический, пневматический и электрический. Эти устройства позволяют осуществлять движение рабочих органов автомата в различных плоскостях, управлять и осуществлять их перемещение с большой точностью.</w:t>
      </w:r>
    </w:p>
    <w:p w:rsidR="00400C57" w:rsidRPr="00FC7EF6" w:rsidRDefault="00A71F17" w:rsidP="00A71F17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32"/>
        </w:rPr>
      </w:pPr>
      <w:r w:rsidRPr="00FC7EF6">
        <w:rPr>
          <w:rFonts w:ascii="Times New Roman" w:hAnsi="Times New Roman"/>
          <w:b w:val="0"/>
          <w:bCs/>
          <w:color w:val="000000"/>
          <w:kern w:val="0"/>
          <w:szCs w:val="32"/>
        </w:rPr>
        <w:br w:type="page"/>
      </w:r>
      <w:r w:rsidR="00400C57" w:rsidRPr="00FC7EF6">
        <w:rPr>
          <w:rFonts w:ascii="Times New Roman" w:hAnsi="Times New Roman"/>
          <w:color w:val="000000"/>
          <w:kern w:val="0"/>
          <w:szCs w:val="32"/>
        </w:rPr>
        <w:t>Список литературы</w:t>
      </w:r>
    </w:p>
    <w:p w:rsidR="00400C57" w:rsidRPr="00FC7EF6" w:rsidRDefault="00400C57" w:rsidP="00A71F1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53BA1" w:rsidRPr="00FC7EF6" w:rsidRDefault="00653BA1" w:rsidP="00A71F17">
      <w:pPr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>Харченко А.О. Станки с ЧПУ и оборудование гибких производственных систем: Учебное пособие для студентов вузов. – К.: ИД «Профессионал», 2004. – 304 с.</w:t>
      </w:r>
    </w:p>
    <w:p w:rsidR="00653BA1" w:rsidRPr="00FC7EF6" w:rsidRDefault="00653BA1" w:rsidP="00A71F17">
      <w:pPr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C7EF6">
        <w:rPr>
          <w:color w:val="000000"/>
          <w:sz w:val="28"/>
          <w:szCs w:val="32"/>
        </w:rPr>
        <w:t xml:space="preserve">Р.И. Гжиров, П.П. Серебреницкий. Программирование обработки на станках с </w:t>
      </w:r>
      <w:r w:rsidRPr="00FC7EF6">
        <w:rPr>
          <w:caps/>
          <w:color w:val="000000"/>
          <w:sz w:val="28"/>
          <w:szCs w:val="32"/>
        </w:rPr>
        <w:t>чпу</w:t>
      </w:r>
      <w:r w:rsidRPr="00FC7EF6">
        <w:rPr>
          <w:color w:val="000000"/>
          <w:sz w:val="28"/>
          <w:szCs w:val="32"/>
        </w:rPr>
        <w:t>. Справочник, - Л.: Машиностроение, 1990. – 592 с.</w:t>
      </w:r>
    </w:p>
    <w:p w:rsidR="00C03C65" w:rsidRPr="00FC7EF6" w:rsidRDefault="00C03C65" w:rsidP="00A71F17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Cs w:val="32"/>
        </w:rPr>
      </w:pPr>
      <w:r w:rsidRPr="00FC7EF6">
        <w:rPr>
          <w:color w:val="000000"/>
          <w:szCs w:val="32"/>
        </w:rPr>
        <w:t xml:space="preserve">Роботизированные технологические комплексы / </w:t>
      </w:r>
      <w:r w:rsidR="00A71F17" w:rsidRPr="00FC7EF6">
        <w:rPr>
          <w:color w:val="000000"/>
          <w:szCs w:val="32"/>
        </w:rPr>
        <w:t>Г. И. Костюк, О. О. Баранов, И.</w:t>
      </w:r>
      <w:r w:rsidRPr="00FC7EF6">
        <w:rPr>
          <w:color w:val="000000"/>
          <w:szCs w:val="32"/>
        </w:rPr>
        <w:t>Г. Левченко, В. А. Фадеев – Учеб. Пособие. – Харьков. Нац. аэрокосмический университет «ХАИ», 2003. – 214с.</w:t>
      </w:r>
    </w:p>
    <w:p w:rsidR="00A71F17" w:rsidRPr="00FC7EF6" w:rsidRDefault="00C03C65" w:rsidP="00A71F17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Cs w:val="32"/>
        </w:rPr>
      </w:pPr>
      <w:r w:rsidRPr="00FC7EF6">
        <w:rPr>
          <w:color w:val="000000"/>
          <w:szCs w:val="32"/>
        </w:rPr>
        <w:t>Н.П.Меткин, М.С.</w:t>
      </w:r>
      <w:r w:rsidR="00A71F17" w:rsidRPr="00FC7EF6">
        <w:rPr>
          <w:color w:val="000000"/>
          <w:szCs w:val="32"/>
        </w:rPr>
        <w:t xml:space="preserve"> </w:t>
      </w:r>
      <w:r w:rsidRPr="00FC7EF6">
        <w:rPr>
          <w:color w:val="000000"/>
          <w:szCs w:val="32"/>
        </w:rPr>
        <w:t>Лапин, С.А.</w:t>
      </w:r>
      <w:r w:rsidR="00A71F17" w:rsidRPr="00FC7EF6">
        <w:rPr>
          <w:color w:val="000000"/>
          <w:szCs w:val="32"/>
        </w:rPr>
        <w:t xml:space="preserve"> </w:t>
      </w:r>
      <w:r w:rsidRPr="00FC7EF6">
        <w:rPr>
          <w:color w:val="000000"/>
          <w:szCs w:val="32"/>
        </w:rPr>
        <w:t>Клейменов, В.М.</w:t>
      </w:r>
      <w:r w:rsidR="00A71F17" w:rsidRPr="00FC7EF6">
        <w:rPr>
          <w:color w:val="000000"/>
          <w:szCs w:val="32"/>
        </w:rPr>
        <w:t xml:space="preserve"> </w:t>
      </w:r>
      <w:r w:rsidRPr="00FC7EF6">
        <w:rPr>
          <w:color w:val="000000"/>
          <w:szCs w:val="32"/>
        </w:rPr>
        <w:t>Критський. Гибкие производственные системы. – М.: Издательство стандартов, 1989. – 309с.</w:t>
      </w:r>
    </w:p>
    <w:p w:rsidR="00C03C65" w:rsidRPr="00FC7EF6" w:rsidRDefault="00C03C65" w:rsidP="00A71F17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Cs w:val="32"/>
        </w:rPr>
      </w:pPr>
      <w:r w:rsidRPr="00FC7EF6">
        <w:rPr>
          <w:color w:val="000000"/>
          <w:szCs w:val="32"/>
        </w:rPr>
        <w:t>Гибкие робототехнические системы / А. П. Гавриш, Л. С. Ямпольский, - Киев, Головное издательство издательского объединения “Вища школа”, 1989. - 408с.</w:t>
      </w:r>
    </w:p>
    <w:p w:rsidR="00C03C65" w:rsidRPr="00FC7EF6" w:rsidRDefault="00C03C65" w:rsidP="00A71F17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Cs w:val="32"/>
        </w:rPr>
      </w:pPr>
      <w:r w:rsidRPr="00FC7EF6">
        <w:rPr>
          <w:color w:val="000000"/>
          <w:szCs w:val="32"/>
        </w:rPr>
        <w:t>Широков А.Г. Склады в ГПС. – М.: Машиностроение, 1988. – 216с.</w:t>
      </w:r>
    </w:p>
    <w:p w:rsidR="00C03C65" w:rsidRPr="00FC7EF6" w:rsidRDefault="00C03C65" w:rsidP="00A71F17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Cs w:val="32"/>
        </w:rPr>
      </w:pPr>
      <w:r w:rsidRPr="00FC7EF6">
        <w:rPr>
          <w:color w:val="000000"/>
          <w:szCs w:val="32"/>
        </w:rPr>
        <w:t>Проектирование металлорежущих станков и станочных систем: Справочник-учебник в 3-х т. Т. 3: Проектирование станочных систем /Под общей ред. А.С. Проникова - М.: Изд-во МГТУ им. Н.Э.Баумана; Изд-во МГТУ «Станкин», 2000. - 584 с.</w:t>
      </w:r>
    </w:p>
    <w:p w:rsidR="00C03C65" w:rsidRPr="00FC7EF6" w:rsidRDefault="00C03C65" w:rsidP="00A71F17">
      <w:pPr>
        <w:pStyle w:val="a3"/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Cs w:val="32"/>
        </w:rPr>
      </w:pPr>
      <w:r w:rsidRPr="00FC7EF6">
        <w:rPr>
          <w:color w:val="000000"/>
          <w:szCs w:val="32"/>
        </w:rPr>
        <w:t>8. Иванов Ю.В., Лакота Н.А. Гибкая автоматизация производства производства РЭА с применением микропроцессоров и роботов: Учеб. пособие для вузов. – М.: Радио и связь, 1987. – 464 с.</w:t>
      </w:r>
      <w:bookmarkStart w:id="0" w:name="_GoBack"/>
      <w:bookmarkEnd w:id="0"/>
    </w:p>
    <w:sectPr w:rsidR="00C03C65" w:rsidRPr="00FC7EF6" w:rsidSect="00A71F17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F6" w:rsidRDefault="00FC7EF6">
      <w:r>
        <w:separator/>
      </w:r>
    </w:p>
  </w:endnote>
  <w:endnote w:type="continuationSeparator" w:id="0">
    <w:p w:rsidR="00FC7EF6" w:rsidRDefault="00F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F6" w:rsidRDefault="00FC7EF6">
      <w:r>
        <w:separator/>
      </w:r>
    </w:p>
  </w:footnote>
  <w:footnote w:type="continuationSeparator" w:id="0">
    <w:p w:rsidR="00FC7EF6" w:rsidRDefault="00FC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0A" w:rsidRDefault="00B62B0A" w:rsidP="00410D4B">
    <w:pPr>
      <w:pStyle w:val="a5"/>
      <w:framePr w:wrap="around" w:vAnchor="text" w:hAnchor="margin" w:xAlign="right" w:y="1"/>
      <w:rPr>
        <w:rStyle w:val="a7"/>
      </w:rPr>
    </w:pPr>
  </w:p>
  <w:p w:rsidR="00B62B0A" w:rsidRDefault="00B62B0A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1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97F4D"/>
    <w:multiLevelType w:val="hybridMultilevel"/>
    <w:tmpl w:val="DBFE2BC6"/>
    <w:lvl w:ilvl="0" w:tplc="CCD6D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065335"/>
    <w:multiLevelType w:val="hybridMultilevel"/>
    <w:tmpl w:val="AE02FE7A"/>
    <w:lvl w:ilvl="0" w:tplc="0419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ED4C2524">
      <w:start w:val="1"/>
      <w:numFmt w:val="decimal"/>
      <w:lvlText w:val="%2."/>
      <w:legacy w:legacy="1" w:legacySpace="360" w:legacyIndent="221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4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4ED2C6F"/>
    <w:multiLevelType w:val="hybridMultilevel"/>
    <w:tmpl w:val="A1A6C45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120AB5"/>
    <w:rsid w:val="0024650B"/>
    <w:rsid w:val="002D0DFE"/>
    <w:rsid w:val="0035095A"/>
    <w:rsid w:val="00354757"/>
    <w:rsid w:val="00391966"/>
    <w:rsid w:val="00400C57"/>
    <w:rsid w:val="00410D4B"/>
    <w:rsid w:val="00644B8A"/>
    <w:rsid w:val="00653BA1"/>
    <w:rsid w:val="006C18B9"/>
    <w:rsid w:val="008133F7"/>
    <w:rsid w:val="009B1DDD"/>
    <w:rsid w:val="009F6540"/>
    <w:rsid w:val="00A71F17"/>
    <w:rsid w:val="00B62B0A"/>
    <w:rsid w:val="00BD0C77"/>
    <w:rsid w:val="00BF5971"/>
    <w:rsid w:val="00C03C65"/>
    <w:rsid w:val="00C13A9F"/>
    <w:rsid w:val="00C47C1C"/>
    <w:rsid w:val="00C51701"/>
    <w:rsid w:val="00C63906"/>
    <w:rsid w:val="00F06E1A"/>
    <w:rsid w:val="00F658EB"/>
    <w:rsid w:val="00F668FE"/>
    <w:rsid w:val="00F906B2"/>
    <w:rsid w:val="00F96F6F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642CBB-02DC-406D-BCCB-208DAE2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509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5475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62B0A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dcterms:created xsi:type="dcterms:W3CDTF">2014-03-04T11:29:00Z</dcterms:created>
  <dcterms:modified xsi:type="dcterms:W3CDTF">2014-03-04T11:29:00Z</dcterms:modified>
</cp:coreProperties>
</file>