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98" w:rsidRPr="009112FD" w:rsidRDefault="00487C98" w:rsidP="009112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112FD">
        <w:rPr>
          <w:b/>
          <w:bCs/>
          <w:sz w:val="28"/>
          <w:szCs w:val="28"/>
        </w:rPr>
        <w:t>МИНИСТЕРСТВО ОБРАЗОВАНИЯ И НАУКИ УКРАИНЫ</w:t>
      </w:r>
    </w:p>
    <w:p w:rsidR="00487C98" w:rsidRPr="009112FD" w:rsidRDefault="00487C98" w:rsidP="009112F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112FD">
        <w:rPr>
          <w:b/>
          <w:bCs/>
          <w:sz w:val="28"/>
          <w:szCs w:val="28"/>
        </w:rPr>
        <w:t>НАЦИОНАЛЬНЫЙ ТЕХНИЧЕСКИЙ УНИВЕРСИТЕТ «ХАРЬКОВСКИЙ ПОЛИТЕХНИЧЕСКИЙ ИНСТИТУТ»</w:t>
      </w:r>
    </w:p>
    <w:p w:rsidR="00487C98" w:rsidRPr="007E6A57" w:rsidRDefault="00487C98" w:rsidP="00576516">
      <w:pPr>
        <w:shd w:val="clear" w:color="auto" w:fill="FFFFFF"/>
        <w:spacing w:line="360" w:lineRule="auto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  <w:r w:rsidRPr="007E6A57">
        <w:t>Кафедра</w:t>
      </w:r>
      <w:r>
        <w:t xml:space="preserve"> организации производства и управления персоналом</w:t>
      </w: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Pr="007E6A57" w:rsidRDefault="00487C98" w:rsidP="00576516">
      <w:pPr>
        <w:pStyle w:val="-"/>
        <w:ind w:firstLine="709"/>
        <w:jc w:val="center"/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>РЕФЕРАТ</w:t>
      </w:r>
    </w:p>
    <w:p w:rsidR="00487C98" w:rsidRPr="007E6A57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международному маркетингу</w:t>
      </w:r>
    </w:p>
    <w:p w:rsidR="00487C98" w:rsidRPr="007E6A57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>на тему: «</w:t>
      </w:r>
      <w:r>
        <w:rPr>
          <w:b/>
          <w:sz w:val="28"/>
          <w:szCs w:val="28"/>
        </w:rPr>
        <w:t>Обзор трансфера технологий в украинскую машиностроительную отрасль</w:t>
      </w:r>
      <w:r w:rsidRPr="007E6A57">
        <w:rPr>
          <w:b/>
          <w:sz w:val="28"/>
          <w:szCs w:val="28"/>
        </w:rPr>
        <w:t>»</w:t>
      </w:r>
    </w:p>
    <w:p w:rsidR="00487C98" w:rsidRPr="007E6A57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87C98" w:rsidRPr="007E6A57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87C98" w:rsidRPr="007E6A57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76516" w:rsidRDefault="00576516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76516" w:rsidRDefault="00576516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76516" w:rsidRDefault="00576516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76516" w:rsidRDefault="00576516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7C9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7C98" w:rsidRPr="00486118" w:rsidRDefault="00487C98" w:rsidP="00576516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sz w:val="28"/>
          <w:szCs w:val="28"/>
        </w:rPr>
      </w:pPr>
      <w:r w:rsidRPr="00486118">
        <w:rPr>
          <w:sz w:val="28"/>
          <w:szCs w:val="28"/>
        </w:rPr>
        <w:t>Харьков-200</w:t>
      </w:r>
      <w:r>
        <w:rPr>
          <w:sz w:val="28"/>
          <w:szCs w:val="28"/>
        </w:rPr>
        <w:t>8</w:t>
      </w:r>
    </w:p>
    <w:p w:rsidR="003622AE" w:rsidRDefault="003622AE" w:rsidP="00576516">
      <w:pPr>
        <w:pStyle w:val="1"/>
        <w:spacing w:before="0" w:after="0" w:line="360" w:lineRule="auto"/>
        <w:ind w:firstLine="709"/>
        <w:jc w:val="both"/>
      </w:pPr>
      <w:r w:rsidRPr="003622AE">
        <w:t>введение</w:t>
      </w:r>
    </w:p>
    <w:p w:rsidR="00576516" w:rsidRPr="00576516" w:rsidRDefault="00576516" w:rsidP="00576516">
      <w:pPr>
        <w:spacing w:line="360" w:lineRule="auto"/>
        <w:ind w:firstLine="709"/>
        <w:jc w:val="both"/>
      </w:pPr>
    </w:p>
    <w:p w:rsidR="009112FD" w:rsidRDefault="00487C98" w:rsidP="00576516">
      <w:pPr>
        <w:pStyle w:val="-"/>
        <w:ind w:firstLine="709"/>
      </w:pPr>
      <w:r>
        <w:t xml:space="preserve">Украина отличается от других восточноевропейских государств с торговым дефицитом структурой своей внешней торговли. В последние годы в экспорте стран Центральной и Восточной Европы растет доля высокотехнологической продукции. </w:t>
      </w:r>
    </w:p>
    <w:p w:rsidR="003622AE" w:rsidRDefault="00487C98" w:rsidP="00576516">
      <w:pPr>
        <w:pStyle w:val="-"/>
        <w:ind w:firstLine="709"/>
      </w:pPr>
      <w:r>
        <w:t>В государства, недавно присоединившиеся к Евросоюзу, текут многомиллиардные инвестиции. В частности, в Польшу иностранные компании, в числе которых Dell, Sharp, Toyota, Toshiba, в прошлом году вложили 11 млрд евро. Украину, обладающую среди всех стран региона наихудшим деловым климатом, инвесторы (за исключением западных банков) предпочитают обходить стороной. Отечественные бизнесмены не слишком стремятся к технологическим новшествам: в стране не стало больше предприятий, внедряющих инновации. Местной продукции с высокой добавленной стоимостью сложно конкурировать с импортом</w:t>
      </w:r>
      <w:r w:rsidR="00393E71">
        <w:t>, ч</w:t>
      </w:r>
      <w:r>
        <w:t>то лишь усиливает сырьевую направленность отечественной экономики.</w:t>
      </w:r>
    </w:p>
    <w:p w:rsidR="00393E71" w:rsidRPr="003622AE" w:rsidRDefault="00393E71" w:rsidP="00576516">
      <w:pPr>
        <w:pStyle w:val="-"/>
        <w:ind w:firstLine="709"/>
      </w:pPr>
    </w:p>
    <w:p w:rsidR="00EA605E" w:rsidRDefault="00487C98" w:rsidP="00576516">
      <w:pPr>
        <w:pStyle w:val="a"/>
        <w:spacing w:before="0"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br w:type="page"/>
      </w:r>
      <w:r w:rsidR="00EA605E" w:rsidRPr="00EA605E">
        <w:rPr>
          <w:lang w:val="uk-UA"/>
        </w:rPr>
        <w:t>Государственное регулирование передачи технологии.</w:t>
      </w:r>
    </w:p>
    <w:p w:rsidR="00576516" w:rsidRDefault="00576516" w:rsidP="00576516">
      <w:pPr>
        <w:pStyle w:val="-"/>
        <w:ind w:firstLine="709"/>
        <w:rPr>
          <w:lang w:val="uk-UA"/>
        </w:rPr>
      </w:pPr>
    </w:p>
    <w:p w:rsidR="00EA605E" w:rsidRPr="00EA605E" w:rsidRDefault="00EA605E" w:rsidP="00576516">
      <w:pPr>
        <w:pStyle w:val="-"/>
        <w:ind w:firstLine="709"/>
        <w:rPr>
          <w:lang w:val="uk-UA"/>
        </w:rPr>
      </w:pPr>
      <w:r w:rsidRPr="00EA605E">
        <w:rPr>
          <w:lang w:val="uk-UA"/>
        </w:rPr>
        <w:t>Введение государственного регулирования или контроля за международными передачами технологии может быть вызвано рядом причин, главные из которых связаны с конкурентной борьбой на мировом рынке:</w:t>
      </w:r>
    </w:p>
    <w:p w:rsidR="00EA605E" w:rsidRPr="00EA605E" w:rsidRDefault="00EA605E" w:rsidP="00576516">
      <w:pPr>
        <w:pStyle w:val="-"/>
        <w:ind w:firstLine="709"/>
        <w:rPr>
          <w:lang w:val="uk-UA"/>
        </w:rPr>
      </w:pPr>
      <w:r w:rsidRPr="00EA605E">
        <w:rPr>
          <w:lang w:val="uk-UA"/>
        </w:rPr>
        <w:t>1. Стремлением удержать технологическое лидерство, ограничить иностранную конкуренцию и сохранить рабочие места.</w:t>
      </w:r>
    </w:p>
    <w:p w:rsidR="00EA605E" w:rsidRPr="00EA605E" w:rsidRDefault="00EA605E" w:rsidP="00576516">
      <w:pPr>
        <w:pStyle w:val="-"/>
        <w:ind w:firstLine="709"/>
        <w:rPr>
          <w:lang w:val="uk-UA"/>
        </w:rPr>
      </w:pPr>
      <w:r w:rsidRPr="00EA605E">
        <w:rPr>
          <w:lang w:val="uk-UA"/>
        </w:rPr>
        <w:t xml:space="preserve">2. По соображениям национальной безопасности, политическим и идеологическим мотивам (контролируется передача военной технологии и технологии </w:t>
      </w:r>
      <w:r>
        <w:rPr>
          <w:lang w:val="uk-UA"/>
        </w:rPr>
        <w:t>«</w:t>
      </w:r>
      <w:r w:rsidRPr="00EA605E">
        <w:rPr>
          <w:lang w:val="uk-UA"/>
        </w:rPr>
        <w:t>двойного назначения</w:t>
      </w:r>
      <w:r>
        <w:rPr>
          <w:lang w:val="uk-UA"/>
        </w:rPr>
        <w:t>»</w:t>
      </w:r>
      <w:r w:rsidRPr="00EA605E">
        <w:rPr>
          <w:lang w:val="uk-UA"/>
        </w:rPr>
        <w:t>).</w:t>
      </w:r>
    </w:p>
    <w:p w:rsidR="00EA605E" w:rsidRDefault="00EA605E" w:rsidP="00576516">
      <w:pPr>
        <w:pStyle w:val="-"/>
        <w:ind w:firstLine="709"/>
        <w:rPr>
          <w:lang w:val="uk-UA"/>
        </w:rPr>
      </w:pPr>
      <w:r w:rsidRPr="00EA605E">
        <w:rPr>
          <w:lang w:val="uk-UA"/>
        </w:rPr>
        <w:t>3. По условиям международных соглашений (например, технологии для создания химического, бактериологического, ракетного оружия подлежащих строгому международному контролю).</w:t>
      </w:r>
      <w:r w:rsidR="00576516">
        <w:rPr>
          <w:lang w:val="uk-UA"/>
        </w:rPr>
        <w:t xml:space="preserve"> </w:t>
      </w:r>
      <w:r w:rsidRPr="00EA605E">
        <w:rPr>
          <w:lang w:val="uk-UA"/>
        </w:rPr>
        <w:t xml:space="preserve">Прямое государственное регулирование вывоза и ввоза технологии осуществляется органами экспортного контроля, методами таможенного и пограничного контроля. Косвенное регулирование </w:t>
      </w:r>
      <w:r>
        <w:rPr>
          <w:lang w:val="uk-UA"/>
        </w:rPr>
        <w:t>–</w:t>
      </w:r>
      <w:r w:rsidRPr="00EA605E">
        <w:rPr>
          <w:lang w:val="uk-UA"/>
        </w:rPr>
        <w:t xml:space="preserve"> в основном через государственную систему регистрации патентов и торговых знаков. Иногда требуется специальное разрешение правительства.</w:t>
      </w:r>
      <w:r w:rsidR="00795917">
        <w:rPr>
          <w:lang w:val="uk-UA"/>
        </w:rPr>
        <w:t xml:space="preserve"> </w:t>
      </w:r>
      <w:r w:rsidRPr="00EA605E">
        <w:rPr>
          <w:lang w:val="uk-UA"/>
        </w:rPr>
        <w:t>Страны-получатели иностранной технологии чаще всего регулируют ее ввоз только по соображениям законности и правопорядка, запрещая ввоз определенных видов технологии, опасны</w:t>
      </w:r>
      <w:r w:rsidR="007904DE">
        <w:rPr>
          <w:lang w:val="uk-UA"/>
        </w:rPr>
        <w:t>х</w:t>
      </w:r>
      <w:r w:rsidRPr="00EA605E">
        <w:rPr>
          <w:lang w:val="uk-UA"/>
        </w:rPr>
        <w:t xml:space="preserve"> для общества. Зачастую уровень общего технологического развития страны, стремящейся приобрести иностранную технологию, сам по себе может оказаться преградой на пути ее передачи. </w:t>
      </w:r>
    </w:p>
    <w:p w:rsidR="00576516" w:rsidRPr="00EA605E" w:rsidRDefault="00576516" w:rsidP="00576516">
      <w:pPr>
        <w:pStyle w:val="-"/>
        <w:ind w:firstLine="709"/>
        <w:rPr>
          <w:lang w:val="uk-UA"/>
        </w:rPr>
      </w:pPr>
    </w:p>
    <w:p w:rsidR="003622AE" w:rsidRDefault="00393E71" w:rsidP="00576516">
      <w:pPr>
        <w:pStyle w:val="a"/>
        <w:spacing w:before="0"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перспективы инвестиционного обеспечения технологического развития</w:t>
      </w:r>
    </w:p>
    <w:p w:rsidR="00576516" w:rsidRPr="00576516" w:rsidRDefault="00576516" w:rsidP="00576516">
      <w:pPr>
        <w:pStyle w:val="-"/>
        <w:rPr>
          <w:lang w:val="uk-UA"/>
        </w:rPr>
      </w:pPr>
    </w:p>
    <w:p w:rsidR="009112FD" w:rsidRDefault="00393E71" w:rsidP="00576516">
      <w:pPr>
        <w:pStyle w:val="-"/>
        <w:ind w:firstLine="709"/>
      </w:pPr>
      <w:r>
        <w:t xml:space="preserve">Вступление Украины в ВТО, открывая перед отечественными производителями широкие рынки сбыта, скрывает в себе негативные перспективы, связанные с низкой конкурентоспособностью украинских товаров, что в конечном итоге может привести к увеличению потребительского импорта. В таких условиях ключевой мерой улучшения торгового баланса в долгосрочной перспективе станет стимулирование внешних инвестиций. Президент Центра антикризисных исследований Ярослав Жалило считает, что поддерживать нужно инвестиционную активность в целом. </w:t>
      </w:r>
    </w:p>
    <w:p w:rsidR="00795917" w:rsidRDefault="00393E71" w:rsidP="00576516">
      <w:pPr>
        <w:pStyle w:val="-"/>
        <w:ind w:firstLine="709"/>
      </w:pPr>
      <w:r>
        <w:t xml:space="preserve">Тогда инвестиции автоматически пойдут не в сырьевые экспортоориентированные производства, а в высокотехнологичные отрасли. Активизировать инвестиционную деятельность отечественным </w:t>
      </w:r>
      <w:r w:rsidR="003B0D6E">
        <w:t xml:space="preserve">инновационным </w:t>
      </w:r>
      <w:r>
        <w:t>предприятиям помогут и налоговые льготы.</w:t>
      </w:r>
      <w:r w:rsidR="003B0D6E">
        <w:t xml:space="preserve"> </w:t>
      </w:r>
      <w:r>
        <w:t>Действующее законодательство предусматривает льготу лишь для технопарков: при ввозе оборудования они имеют право платить НДС с отсрочкой в 720 дней. Но технопарки пока не являются эффективными ячейками инновационной деятельности. Между тем предприниматели жалуются, что при ввозе ин</w:t>
      </w:r>
      <w:r w:rsidR="003B0D6E">
        <w:t>нова</w:t>
      </w:r>
      <w:r>
        <w:t xml:space="preserve">ционных товаров необходимость уплаты НДС, который не возвращается, стопорит развитие наукоемких производств. </w:t>
      </w:r>
    </w:p>
    <w:p w:rsidR="00576516" w:rsidRDefault="00393E71" w:rsidP="00576516">
      <w:pPr>
        <w:pStyle w:val="-"/>
        <w:ind w:firstLine="709"/>
      </w:pPr>
      <w:r>
        <w:t xml:space="preserve">Еще одной мерой стимулирования инвестиций и экспорта может стать возобновление специальных экономических зон (СЭЗ). По мнению </w:t>
      </w:r>
      <w:r w:rsidR="003B0D6E">
        <w:t>специалистов,</w:t>
      </w:r>
      <w:r>
        <w:t xml:space="preserve"> обновленные зоны нужно создавать по территориальному принципу и в соответствии с мировой практикой, а также исключить их из таможенной территории Украины. При этом правила функционирования СЭЗ необходимо прописать на законодательном уровне</w:t>
      </w:r>
      <w:r w:rsidR="003B0D6E">
        <w:t>.</w:t>
      </w:r>
      <w:r w:rsidR="00795917">
        <w:t xml:space="preserve"> </w:t>
      </w:r>
      <w:r w:rsidR="003B0D6E">
        <w:t>Показатели инновационной активности в Украине не свидетельствуют о положительных тенденциях. Несмотря на то, что доля предприятий, внедряющих новые технологии колеблется примерно на одном уровне, медленно снижаясь, их абсолютное число падает стремительно особенно за последний год (см. табл. 1)</w:t>
      </w:r>
    </w:p>
    <w:p w:rsidR="00393E71" w:rsidRDefault="00576516" w:rsidP="00576516">
      <w:pPr>
        <w:pStyle w:val="-"/>
        <w:ind w:firstLine="709"/>
        <w:rPr>
          <w:lang w:val="uk-UA"/>
        </w:rPr>
      </w:pPr>
      <w:r>
        <w:br w:type="page"/>
      </w:r>
      <w:r w:rsidR="00AE5E7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20.55pt;width:255.7pt;height:144.55pt;z-index:251657728;mso-wrap-distance-left:5.4pt;mso-wrap-distance-top:5.4pt;mso-wrap-distance-right:5.4pt;mso-wrap-distance-bottom:5.4pt;mso-position-vertical-relative:line" o:allowoverlap="f">
            <v:imagedata r:id="rId7" o:title="" croptop="22884f" cropbottom="4200f"/>
          </v:shape>
        </w:pict>
      </w:r>
      <w:r w:rsidR="003B0D6E">
        <w:rPr>
          <w:lang w:val="uk-UA"/>
        </w:rPr>
        <w:t xml:space="preserve">Таблица 1 – </w:t>
      </w:r>
      <w:r w:rsidR="000B162C">
        <w:rPr>
          <w:lang w:val="uk-UA"/>
        </w:rPr>
        <w:t>И</w:t>
      </w:r>
      <w:r w:rsidR="003B0D6E">
        <w:rPr>
          <w:lang w:val="uk-UA"/>
        </w:rPr>
        <w:t>нновационн</w:t>
      </w:r>
      <w:r w:rsidR="000B162C">
        <w:rPr>
          <w:lang w:val="uk-UA"/>
        </w:rPr>
        <w:t>ая</w:t>
      </w:r>
      <w:r w:rsidR="003B0D6E">
        <w:rPr>
          <w:lang w:val="uk-UA"/>
        </w:rPr>
        <w:t xml:space="preserve"> активност</w:t>
      </w:r>
      <w:r w:rsidR="000B162C">
        <w:rPr>
          <w:lang w:val="uk-UA"/>
        </w:rPr>
        <w:t>ь</w:t>
      </w:r>
      <w:r w:rsidR="003B0D6E">
        <w:rPr>
          <w:lang w:val="uk-UA"/>
        </w:rPr>
        <w:t xml:space="preserve"> </w:t>
      </w:r>
      <w:r w:rsidR="000B162C">
        <w:rPr>
          <w:lang w:val="uk-UA"/>
        </w:rPr>
        <w:t xml:space="preserve">в </w:t>
      </w:r>
      <w:r w:rsidR="003B0D6E">
        <w:rPr>
          <w:lang w:val="uk-UA"/>
        </w:rPr>
        <w:t>промышленности Украины</w:t>
      </w:r>
    </w:p>
    <w:p w:rsidR="00393E71" w:rsidRDefault="00393E71" w:rsidP="00576516">
      <w:pPr>
        <w:pStyle w:val="-"/>
        <w:ind w:firstLine="709"/>
        <w:rPr>
          <w:lang w:val="uk-UA"/>
        </w:rPr>
      </w:pPr>
    </w:p>
    <w:p w:rsidR="000B162C" w:rsidRDefault="000B162C" w:rsidP="00576516">
      <w:pPr>
        <w:pStyle w:val="-"/>
        <w:ind w:firstLine="709"/>
        <w:rPr>
          <w:lang w:val="uk-UA"/>
        </w:rPr>
      </w:pPr>
    </w:p>
    <w:p w:rsidR="00393E71" w:rsidRDefault="00393E71" w:rsidP="00576516">
      <w:pPr>
        <w:pStyle w:val="-"/>
        <w:ind w:firstLine="709"/>
        <w:rPr>
          <w:lang w:val="uk-UA"/>
        </w:rPr>
      </w:pPr>
    </w:p>
    <w:p w:rsidR="00393E71" w:rsidRDefault="00393E71" w:rsidP="00576516">
      <w:pPr>
        <w:pStyle w:val="-"/>
        <w:ind w:firstLine="709"/>
        <w:rPr>
          <w:lang w:val="uk-UA"/>
        </w:rPr>
      </w:pPr>
    </w:p>
    <w:p w:rsidR="00393E71" w:rsidRDefault="00393E71" w:rsidP="00576516">
      <w:pPr>
        <w:pStyle w:val="-"/>
        <w:ind w:firstLine="709"/>
        <w:rPr>
          <w:lang w:val="uk-UA"/>
        </w:rPr>
      </w:pPr>
    </w:p>
    <w:p w:rsidR="00393E71" w:rsidRPr="00393E71" w:rsidRDefault="00393E71" w:rsidP="00576516">
      <w:pPr>
        <w:pStyle w:val="-"/>
        <w:ind w:firstLine="709"/>
        <w:rPr>
          <w:lang w:val="uk-UA"/>
        </w:rPr>
      </w:pPr>
    </w:p>
    <w:p w:rsidR="003B0D6E" w:rsidRDefault="003B0D6E" w:rsidP="00576516">
      <w:pPr>
        <w:pStyle w:val="-"/>
        <w:ind w:firstLine="709"/>
        <w:rPr>
          <w:lang w:val="uk-UA"/>
        </w:rPr>
      </w:pPr>
    </w:p>
    <w:p w:rsidR="003B0D6E" w:rsidRDefault="00EA605E" w:rsidP="00576516">
      <w:pPr>
        <w:pStyle w:val="-"/>
        <w:ind w:firstLine="709"/>
      </w:pPr>
      <w:r>
        <w:rPr>
          <w:lang w:val="uk-UA"/>
        </w:rPr>
        <w:t xml:space="preserve">Что касается внутренних тенденций в производстве, то </w:t>
      </w:r>
      <w:r>
        <w:t>машиностроение демонстрирует более высокую динамику прироста производства, чем промышленность в целом, увеличившая за тот же период объемы лишь на 11,8%. В частности, производство машин и оборудования возросло на 15,4%, электрического, электронного и оптического оборудования - на 21,2%, транспортных средств и оборудования - на 31,2%.</w:t>
      </w:r>
      <w:r w:rsidRPr="00EA605E">
        <w:t xml:space="preserve"> </w:t>
      </w:r>
      <w:r>
        <w:t>Вместе с тем, доля машиностроения в объеме реализованной промышленной продукции в январе-мае составила лишь 12,6%.</w:t>
      </w:r>
      <w:r w:rsidRPr="00EA605E">
        <w:t xml:space="preserve"> </w:t>
      </w:r>
      <w:r>
        <w:t>Это означает, что украинское машиностроение в массе своей остается технологически отсталым и неконкурентоспособным.</w:t>
      </w:r>
      <w:r w:rsidRPr="00EA605E">
        <w:t xml:space="preserve"> </w:t>
      </w:r>
      <w:r>
        <w:t>В этих условиях сохранить высокие темпы роста в машиностроении возможно только за счет серьезной перестройки экономики и создания стимулов для модернизации производства.</w:t>
      </w:r>
      <w:r w:rsidRPr="00EA605E">
        <w:t xml:space="preserve"> </w:t>
      </w:r>
      <w:r>
        <w:t>В этой ситуации предприятиям приходится рассчитывать только на свои силы и несмотря ни на что тем или иным образом изыскивать возможности для инвестирования</w:t>
      </w:r>
      <w:r w:rsidR="00D8149F">
        <w:t xml:space="preserve"> в модернизацию и повышение технологического уровня</w:t>
      </w:r>
      <w:r>
        <w:t xml:space="preserve"> производства.</w:t>
      </w:r>
    </w:p>
    <w:p w:rsidR="00576516" w:rsidRDefault="00576516" w:rsidP="00576516">
      <w:pPr>
        <w:pStyle w:val="-"/>
        <w:ind w:firstLine="709"/>
      </w:pPr>
    </w:p>
    <w:p w:rsidR="000B162C" w:rsidRDefault="000B162C" w:rsidP="00576516">
      <w:pPr>
        <w:pStyle w:val="a"/>
        <w:spacing w:before="0" w:after="0" w:line="360" w:lineRule="auto"/>
        <w:ind w:left="0" w:firstLine="709"/>
        <w:jc w:val="both"/>
        <w:rPr>
          <w:lang w:val="uk-UA"/>
        </w:rPr>
      </w:pPr>
      <w:r>
        <w:rPr>
          <w:lang w:val="uk-UA"/>
        </w:rPr>
        <w:t>Внедрение инноваций в Украине и место трансфера технологий в этом процессе</w:t>
      </w:r>
    </w:p>
    <w:p w:rsidR="00576516" w:rsidRPr="00576516" w:rsidRDefault="00576516" w:rsidP="00576516">
      <w:pPr>
        <w:pStyle w:val="-"/>
        <w:rPr>
          <w:lang w:val="uk-UA"/>
        </w:rPr>
      </w:pPr>
    </w:p>
    <w:p w:rsidR="00346F16" w:rsidRDefault="000B162C" w:rsidP="00576516">
      <w:pPr>
        <w:pStyle w:val="-"/>
        <w:ind w:firstLine="709"/>
        <w:rPr>
          <w:lang w:val="uk-UA"/>
        </w:rPr>
      </w:pPr>
      <w:r>
        <w:rPr>
          <w:szCs w:val="26"/>
          <w:lang w:val="uk-UA"/>
        </w:rPr>
        <w:t>В</w:t>
      </w:r>
      <w:r w:rsidRPr="000B162C">
        <w:rPr>
          <w:szCs w:val="26"/>
          <w:lang w:val="uk-UA"/>
        </w:rPr>
        <w:t xml:space="preserve"> 2007</w:t>
      </w:r>
      <w:r>
        <w:rPr>
          <w:szCs w:val="26"/>
          <w:lang w:val="uk-UA"/>
        </w:rPr>
        <w:t xml:space="preserve"> г</w:t>
      </w:r>
      <w:r w:rsidRPr="000B162C">
        <w:rPr>
          <w:szCs w:val="26"/>
          <w:lang w:val="uk-UA"/>
        </w:rPr>
        <w:t>. р</w:t>
      </w:r>
      <w:r>
        <w:rPr>
          <w:szCs w:val="26"/>
          <w:lang w:val="uk-UA"/>
        </w:rPr>
        <w:t>а</w:t>
      </w:r>
      <w:r w:rsidRPr="000B162C">
        <w:rPr>
          <w:szCs w:val="26"/>
          <w:lang w:val="uk-UA"/>
        </w:rPr>
        <w:t>бот</w:t>
      </w:r>
      <w:r>
        <w:rPr>
          <w:szCs w:val="26"/>
          <w:lang w:val="uk-UA"/>
        </w:rPr>
        <w:t>ы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по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созданию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использованию</w:t>
      </w:r>
      <w:r w:rsidRPr="000B162C">
        <w:rPr>
          <w:szCs w:val="26"/>
          <w:lang w:val="uk-UA"/>
        </w:rPr>
        <w:t xml:space="preserve"> об</w:t>
      </w:r>
      <w:r>
        <w:rPr>
          <w:szCs w:val="26"/>
          <w:lang w:val="uk-UA"/>
        </w:rPr>
        <w:t>ъе</w:t>
      </w:r>
      <w:r w:rsidRPr="000B162C">
        <w:rPr>
          <w:szCs w:val="26"/>
          <w:lang w:val="uk-UA"/>
        </w:rPr>
        <w:t>кт</w:t>
      </w:r>
      <w:r>
        <w:rPr>
          <w:szCs w:val="26"/>
          <w:lang w:val="uk-UA"/>
        </w:rPr>
        <w:t>о</w:t>
      </w:r>
      <w:r w:rsidRPr="000B162C">
        <w:rPr>
          <w:szCs w:val="26"/>
          <w:lang w:val="uk-UA"/>
        </w:rPr>
        <w:t xml:space="preserve">в права 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нтел</w:t>
      </w:r>
      <w:r>
        <w:rPr>
          <w:szCs w:val="26"/>
          <w:lang w:val="uk-UA"/>
        </w:rPr>
        <w:t>л</w:t>
      </w:r>
      <w:r w:rsidRPr="000B162C">
        <w:rPr>
          <w:szCs w:val="26"/>
          <w:lang w:val="uk-UA"/>
        </w:rPr>
        <w:t>ектуально</w:t>
      </w:r>
      <w:r>
        <w:rPr>
          <w:szCs w:val="26"/>
          <w:lang w:val="uk-UA"/>
        </w:rPr>
        <w:t>й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собствеенности</w:t>
      </w:r>
      <w:r w:rsidRPr="000B162C">
        <w:rPr>
          <w:szCs w:val="26"/>
          <w:lang w:val="uk-UA"/>
        </w:rPr>
        <w:t xml:space="preserve"> (</w:t>
      </w:r>
      <w:r>
        <w:rPr>
          <w:szCs w:val="26"/>
          <w:lang w:val="uk-UA"/>
        </w:rPr>
        <w:t>изобретений</w:t>
      </w:r>
      <w:r w:rsidRPr="000B162C">
        <w:rPr>
          <w:szCs w:val="26"/>
          <w:lang w:val="uk-UA"/>
        </w:rPr>
        <w:t xml:space="preserve">, </w:t>
      </w:r>
      <w:r>
        <w:rPr>
          <w:szCs w:val="26"/>
          <w:lang w:val="uk-UA"/>
        </w:rPr>
        <w:t>полезных</w:t>
      </w:r>
      <w:r w:rsidRPr="000B162C">
        <w:rPr>
          <w:szCs w:val="26"/>
          <w:lang w:val="uk-UA"/>
        </w:rPr>
        <w:t xml:space="preserve"> моделей, пром</w:t>
      </w:r>
      <w:r>
        <w:rPr>
          <w:szCs w:val="26"/>
          <w:lang w:val="uk-UA"/>
        </w:rPr>
        <w:t>ышленны</w:t>
      </w:r>
      <w:r w:rsidRPr="000B162C">
        <w:rPr>
          <w:szCs w:val="26"/>
          <w:lang w:val="uk-UA"/>
        </w:rPr>
        <w:t xml:space="preserve">х </w:t>
      </w:r>
      <w:r>
        <w:rPr>
          <w:szCs w:val="26"/>
          <w:lang w:val="uk-UA"/>
        </w:rPr>
        <w:t>обрзцов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 xml:space="preserve"> рац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онал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заторских пр</w:t>
      </w:r>
      <w:r>
        <w:rPr>
          <w:szCs w:val="26"/>
          <w:lang w:val="uk-UA"/>
        </w:rPr>
        <w:t>едложени</w:t>
      </w:r>
      <w:r w:rsidRPr="000B162C">
        <w:rPr>
          <w:szCs w:val="26"/>
          <w:lang w:val="uk-UA"/>
        </w:rPr>
        <w:t xml:space="preserve">й) </w:t>
      </w:r>
      <w:r>
        <w:rPr>
          <w:szCs w:val="26"/>
          <w:lang w:val="uk-UA"/>
        </w:rPr>
        <w:t>производили</w:t>
      </w:r>
      <w:r w:rsidRPr="000B162C">
        <w:rPr>
          <w:szCs w:val="26"/>
          <w:lang w:val="uk-UA"/>
        </w:rPr>
        <w:t xml:space="preserve"> 1316 </w:t>
      </w:r>
      <w:r>
        <w:rPr>
          <w:szCs w:val="26"/>
          <w:lang w:val="uk-UA"/>
        </w:rPr>
        <w:t>предприятий</w:t>
      </w:r>
      <w:r w:rsidRPr="000B162C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 xml:space="preserve"> орган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зац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й Укра</w:t>
      </w:r>
      <w:r>
        <w:rPr>
          <w:szCs w:val="26"/>
          <w:lang w:val="uk-UA"/>
        </w:rPr>
        <w:t>и</w:t>
      </w:r>
      <w:r w:rsidRPr="000B162C">
        <w:rPr>
          <w:szCs w:val="26"/>
          <w:lang w:val="uk-UA"/>
        </w:rPr>
        <w:t>н</w:t>
      </w:r>
      <w:r>
        <w:rPr>
          <w:szCs w:val="26"/>
          <w:lang w:val="uk-UA"/>
        </w:rPr>
        <w:t>ы</w:t>
      </w:r>
      <w:r w:rsidRPr="000B162C">
        <w:rPr>
          <w:szCs w:val="26"/>
          <w:lang w:val="uk-UA"/>
        </w:rPr>
        <w:t xml:space="preserve"> – юридич</w:t>
      </w:r>
      <w:r>
        <w:rPr>
          <w:szCs w:val="26"/>
          <w:lang w:val="uk-UA"/>
        </w:rPr>
        <w:t>еск</w:t>
      </w:r>
      <w:r w:rsidRPr="000B162C">
        <w:rPr>
          <w:szCs w:val="26"/>
          <w:lang w:val="uk-UA"/>
        </w:rPr>
        <w:t xml:space="preserve">их </w:t>
      </w:r>
      <w:r>
        <w:rPr>
          <w:szCs w:val="26"/>
          <w:lang w:val="uk-UA"/>
        </w:rPr>
        <w:t>лиц</w:t>
      </w:r>
      <w:r w:rsidRPr="000B162C">
        <w:rPr>
          <w:szCs w:val="26"/>
          <w:lang w:val="uk-UA"/>
        </w:rPr>
        <w:t xml:space="preserve">. </w:t>
      </w:r>
      <w:r w:rsidRPr="002C14FA">
        <w:rPr>
          <w:szCs w:val="26"/>
        </w:rPr>
        <w:t>Трет</w:t>
      </w:r>
      <w:r>
        <w:rPr>
          <w:szCs w:val="26"/>
        </w:rPr>
        <w:t>ь</w:t>
      </w:r>
      <w:r w:rsidRPr="002C14FA">
        <w:rPr>
          <w:szCs w:val="26"/>
        </w:rPr>
        <w:t xml:space="preserve"> </w:t>
      </w:r>
      <w:r>
        <w:rPr>
          <w:szCs w:val="26"/>
        </w:rPr>
        <w:t>и</w:t>
      </w:r>
      <w:r w:rsidRPr="002C14FA">
        <w:rPr>
          <w:szCs w:val="26"/>
        </w:rPr>
        <w:t xml:space="preserve">з них </w:t>
      </w:r>
      <w:r>
        <w:rPr>
          <w:szCs w:val="26"/>
        </w:rPr>
        <w:t>составили</w:t>
      </w:r>
      <w:r w:rsidRPr="002C14FA">
        <w:rPr>
          <w:szCs w:val="26"/>
        </w:rPr>
        <w:t xml:space="preserve"> </w:t>
      </w:r>
      <w:r>
        <w:rPr>
          <w:szCs w:val="26"/>
        </w:rPr>
        <w:t>предприятия</w:t>
      </w:r>
      <w:r w:rsidRPr="002C14FA">
        <w:rPr>
          <w:szCs w:val="26"/>
        </w:rPr>
        <w:t xml:space="preserve"> </w:t>
      </w:r>
      <w:r>
        <w:rPr>
          <w:szCs w:val="26"/>
        </w:rPr>
        <w:t>перерабатывающей</w:t>
      </w:r>
      <w:r w:rsidRPr="002C14FA">
        <w:rPr>
          <w:szCs w:val="26"/>
        </w:rPr>
        <w:t xml:space="preserve"> пром</w:t>
      </w:r>
      <w:r>
        <w:rPr>
          <w:szCs w:val="26"/>
        </w:rPr>
        <w:t>ыш</w:t>
      </w:r>
      <w:r w:rsidRPr="002C14FA">
        <w:rPr>
          <w:szCs w:val="26"/>
        </w:rPr>
        <w:t>л</w:t>
      </w:r>
      <w:r>
        <w:rPr>
          <w:szCs w:val="26"/>
        </w:rPr>
        <w:t>енн</w:t>
      </w:r>
      <w:r w:rsidRPr="002C14FA">
        <w:rPr>
          <w:szCs w:val="26"/>
        </w:rPr>
        <w:t>ост</w:t>
      </w:r>
      <w:r>
        <w:rPr>
          <w:szCs w:val="26"/>
        </w:rPr>
        <w:t>и</w:t>
      </w:r>
      <w:r w:rsidRPr="002C14FA">
        <w:rPr>
          <w:szCs w:val="26"/>
        </w:rPr>
        <w:t xml:space="preserve">, </w:t>
      </w:r>
      <w:r>
        <w:rPr>
          <w:szCs w:val="26"/>
        </w:rPr>
        <w:t>почти</w:t>
      </w:r>
      <w:r w:rsidRPr="002C14FA">
        <w:rPr>
          <w:szCs w:val="26"/>
        </w:rPr>
        <w:t xml:space="preserve"> половина </w:t>
      </w:r>
      <w:r>
        <w:rPr>
          <w:szCs w:val="26"/>
        </w:rPr>
        <w:t>из которых – 47%</w:t>
      </w:r>
      <w:r w:rsidRPr="002C14FA">
        <w:rPr>
          <w:szCs w:val="26"/>
        </w:rPr>
        <w:t xml:space="preserve"> –</w:t>
      </w:r>
      <w:r>
        <w:rPr>
          <w:szCs w:val="26"/>
        </w:rPr>
        <w:t xml:space="preserve"> предприятия</w:t>
      </w:r>
      <w:r w:rsidRPr="002C14FA">
        <w:rPr>
          <w:szCs w:val="26"/>
        </w:rPr>
        <w:t xml:space="preserve"> машино</w:t>
      </w:r>
      <w:r>
        <w:rPr>
          <w:szCs w:val="26"/>
        </w:rPr>
        <w:t>строени</w:t>
      </w:r>
      <w:r w:rsidRPr="002C14FA">
        <w:rPr>
          <w:szCs w:val="26"/>
        </w:rPr>
        <w:t>я.</w:t>
      </w:r>
      <w:r w:rsidR="0035127B">
        <w:rPr>
          <w:szCs w:val="26"/>
        </w:rPr>
        <w:t xml:space="preserve"> </w:t>
      </w:r>
      <w:r w:rsidR="00346F16">
        <w:rPr>
          <w:lang w:val="uk-UA"/>
        </w:rPr>
        <w:t>Госкомстат Украины даёт такие показатели инновационной активности за 2007 г. (табл. 2):</w:t>
      </w:r>
    </w:p>
    <w:p w:rsidR="00576516" w:rsidRDefault="00576516" w:rsidP="00576516">
      <w:pPr>
        <w:pStyle w:val="-"/>
        <w:ind w:firstLine="709"/>
        <w:rPr>
          <w:lang w:val="uk-UA"/>
        </w:rPr>
      </w:pPr>
      <w:r>
        <w:rPr>
          <w:lang w:val="uk-UA"/>
        </w:rPr>
        <w:t>Таблица 2</w:t>
      </w:r>
    </w:p>
    <w:p w:rsidR="00D8149F" w:rsidRDefault="00D8149F" w:rsidP="00576516">
      <w:pPr>
        <w:pStyle w:val="-"/>
        <w:ind w:firstLine="709"/>
        <w:rPr>
          <w:lang w:val="uk-UA"/>
        </w:rPr>
      </w:pPr>
      <w:r>
        <w:rPr>
          <w:lang w:val="uk-UA"/>
        </w:rPr>
        <w:t>Инновационная деятельность в</w:t>
      </w:r>
      <w:r w:rsidR="0035127B">
        <w:rPr>
          <w:lang w:val="uk-UA"/>
        </w:rPr>
        <w:t xml:space="preserve"> промышленности</w:t>
      </w:r>
      <w:r>
        <w:rPr>
          <w:lang w:val="uk-UA"/>
        </w:rPr>
        <w:t xml:space="preserve"> Украин</w:t>
      </w:r>
      <w:r w:rsidR="0035127B">
        <w:rPr>
          <w:lang w:val="uk-UA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"/>
        <w:gridCol w:w="1244"/>
        <w:gridCol w:w="660"/>
        <w:gridCol w:w="460"/>
        <w:gridCol w:w="588"/>
        <w:gridCol w:w="735"/>
        <w:gridCol w:w="1267"/>
        <w:gridCol w:w="1563"/>
        <w:gridCol w:w="1761"/>
        <w:gridCol w:w="676"/>
      </w:tblGrid>
      <w:tr w:rsidR="00F43412" w:rsidRPr="00576516"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Доля предприятий, занимавшихся инновациями</w:t>
            </w:r>
          </w:p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Общая сумма затрат</w:t>
            </w:r>
          </w:p>
        </w:tc>
        <w:tc>
          <w:tcPr>
            <w:tcW w:w="0" w:type="auto"/>
            <w:gridSpan w:val="7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В том числе по направлениям</w:t>
            </w:r>
          </w:p>
        </w:tc>
      </w:tr>
      <w:tr w:rsidR="00D8149F" w:rsidRPr="00576516">
        <w:trPr>
          <w:trHeight w:val="458"/>
        </w:trPr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346F16" w:rsidRPr="00576516" w:rsidRDefault="00346F16" w:rsidP="00576516">
            <w:r w:rsidRPr="00576516">
              <w:t>Исследования и разработки</w:t>
            </w:r>
          </w:p>
        </w:tc>
        <w:tc>
          <w:tcPr>
            <w:tcW w:w="1315" w:type="dxa"/>
            <w:gridSpan w:val="2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в том числе</w:t>
            </w:r>
          </w:p>
        </w:tc>
        <w:tc>
          <w:tcPr>
            <w:tcW w:w="128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покупка новых технологий</w:t>
            </w:r>
          </w:p>
        </w:tc>
        <w:tc>
          <w:tcPr>
            <w:tcW w:w="1595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подготовка производства для внедрения инноваций</w:t>
            </w:r>
          </w:p>
        </w:tc>
        <w:tc>
          <w:tcPr>
            <w:tcW w:w="18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 xml:space="preserve">покупка машин и </w:t>
            </w:r>
            <w:r w:rsidR="00F43412" w:rsidRPr="00576516">
              <w:rPr>
                <w:b/>
              </w:rPr>
              <w:t>оборудования</w:t>
            </w:r>
            <w:r w:rsidRPr="00576516">
              <w:rPr>
                <w:b/>
              </w:rPr>
              <w:t xml:space="preserve"> </w:t>
            </w:r>
            <w:r w:rsidR="00F43412" w:rsidRPr="00576516">
              <w:rPr>
                <w:b/>
              </w:rPr>
              <w:t>связанных с</w:t>
            </w:r>
            <w:r w:rsidRPr="00576516">
              <w:rPr>
                <w:b/>
              </w:rPr>
              <w:t xml:space="preserve"> </w:t>
            </w:r>
            <w:r w:rsidR="00F43412" w:rsidRPr="00576516">
              <w:rPr>
                <w:b/>
              </w:rPr>
              <w:t>внедрением</w:t>
            </w:r>
            <w:r w:rsidRPr="00576516">
              <w:rPr>
                <w:b/>
              </w:rPr>
              <w:t xml:space="preserve"> </w:t>
            </w:r>
            <w:r w:rsidR="00F43412" w:rsidRPr="00576516">
              <w:rPr>
                <w:b/>
              </w:rPr>
              <w:t>и</w:t>
            </w:r>
            <w:r w:rsidRPr="00576516">
              <w:rPr>
                <w:b/>
              </w:rPr>
              <w:t>нновац</w:t>
            </w:r>
            <w:r w:rsidR="00F43412" w:rsidRPr="00576516">
              <w:rPr>
                <w:b/>
              </w:rPr>
              <w:t>и</w:t>
            </w:r>
            <w:r w:rsidRPr="00576516">
              <w:rPr>
                <w:b/>
              </w:rPr>
              <w:t>й</w:t>
            </w:r>
          </w:p>
        </w:tc>
        <w:tc>
          <w:tcPr>
            <w:tcW w:w="0" w:type="auto"/>
            <w:vMerge w:val="restart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Др. затраты</w:t>
            </w:r>
          </w:p>
        </w:tc>
      </w:tr>
      <w:tr w:rsidR="00D8149F" w:rsidRPr="00576516"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D8149F" w:rsidP="00576516">
            <w:r w:rsidRPr="00576516">
              <w:t xml:space="preserve"> </w:t>
            </w:r>
            <w:r w:rsidR="00346F16" w:rsidRPr="00576516">
              <w:t>Внутр. НИР</w:t>
            </w:r>
          </w:p>
        </w:tc>
        <w:tc>
          <w:tcPr>
            <w:tcW w:w="749" w:type="dxa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Внеш. НИР</w:t>
            </w:r>
          </w:p>
        </w:tc>
        <w:tc>
          <w:tcPr>
            <w:tcW w:w="1285" w:type="dxa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1595" w:type="dxa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1800" w:type="dxa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vMerge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/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%</w:t>
            </w:r>
          </w:p>
        </w:tc>
        <w:tc>
          <w:tcPr>
            <w:tcW w:w="0" w:type="auto"/>
            <w:gridSpan w:val="8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млн.</w:t>
            </w:r>
            <w:r w:rsidR="00F43412" w:rsidRPr="00576516">
              <w:t xml:space="preserve"> </w:t>
            </w:r>
            <w:r w:rsidRPr="00576516">
              <w:t>грн.</w:t>
            </w:r>
          </w:p>
        </w:tc>
      </w:tr>
      <w:tr w:rsidR="003F4581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F4581" w:rsidRPr="00576516" w:rsidRDefault="003F4581" w:rsidP="00576516">
            <w:r w:rsidRPr="00576516">
              <w:t>10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18,0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1760,1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266,2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72,8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163,9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1074,5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182,7</w:t>
            </w:r>
          </w:p>
        </w:tc>
      </w:tr>
      <w:tr w:rsidR="00D8149F" w:rsidRPr="00576516"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2001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16,5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1979,4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171,4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125,0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183,8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1249,4</w:t>
            </w:r>
          </w:p>
        </w:tc>
        <w:tc>
          <w:tcPr>
            <w:tcW w:w="0" w:type="auto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249,8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18,0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3018,3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270,1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149,7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325,2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1865,6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407,7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15,1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3059,8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312,9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95,9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527,3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1873,7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250,0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D8149F" w:rsidP="00576516">
            <w:r w:rsidRPr="00576516">
              <w:t>10,0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4534,6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445,3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143,5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808,5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2717,5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419,8</w:t>
            </w:r>
          </w:p>
        </w:tc>
      </w:tr>
      <w:tr w:rsidR="00795917" w:rsidRPr="00576516"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pPr>
              <w:rPr>
                <w:i/>
              </w:rPr>
            </w:pPr>
          </w:p>
        </w:tc>
      </w:tr>
      <w:tr w:rsidR="00795917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8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795917" w:rsidRPr="00576516" w:rsidRDefault="00795917" w:rsidP="00576516">
            <w:r w:rsidRPr="00576516">
              <w:t>10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D8149F" w:rsidP="00576516">
            <w:r w:rsidRPr="00576516">
              <w:t>8,2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5751,6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612,3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243,4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991,7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3149,6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754,6</w:t>
            </w:r>
          </w:p>
        </w:tc>
      </w:tr>
      <w:tr w:rsidR="00D8149F" w:rsidRPr="00576516"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D8149F" w:rsidP="00576516">
            <w:r w:rsidRPr="00576516">
              <w:t>10,0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6160,0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992,9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Х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159,5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954,7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3489,2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563,7</w:t>
            </w:r>
          </w:p>
        </w:tc>
      </w:tr>
      <w:tr w:rsidR="00D8149F" w:rsidRPr="00576516">
        <w:trPr>
          <w:trHeight w:val="190"/>
        </w:trPr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2007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14,2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10850,9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986,5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793,6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192,9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328,4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F43412" w:rsidP="00576516">
            <w:r w:rsidRPr="00576516">
              <w:t>1010,9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pPr>
              <w:rPr>
                <w:b/>
              </w:rPr>
            </w:pPr>
            <w:r w:rsidRPr="00576516">
              <w:rPr>
                <w:b/>
              </w:rPr>
              <w:t>7471,1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346F16" w:rsidRPr="00576516" w:rsidRDefault="00346F16" w:rsidP="00576516">
            <w:r w:rsidRPr="00576516">
              <w:t>2064,9</w:t>
            </w:r>
          </w:p>
        </w:tc>
      </w:tr>
    </w:tbl>
    <w:p w:rsidR="00576516" w:rsidRDefault="00576516" w:rsidP="00576516">
      <w:pPr>
        <w:pStyle w:val="-"/>
        <w:ind w:firstLine="709"/>
        <w:rPr>
          <w:lang w:val="uk-UA"/>
        </w:rPr>
      </w:pPr>
    </w:p>
    <w:p w:rsidR="0035127B" w:rsidRDefault="00D8149F" w:rsidP="00576516">
      <w:pPr>
        <w:pStyle w:val="-"/>
        <w:ind w:firstLine="709"/>
        <w:rPr>
          <w:lang w:val="uk-UA"/>
        </w:rPr>
      </w:pPr>
      <w:r>
        <w:rPr>
          <w:lang w:val="uk-UA"/>
        </w:rPr>
        <w:t xml:space="preserve">Как показывает таблица, общая сумма затрат на </w:t>
      </w:r>
      <w:r w:rsidR="0035127B">
        <w:rPr>
          <w:lang w:val="uk-UA"/>
        </w:rPr>
        <w:t xml:space="preserve">инновации существенно возрасла за последний год. Хотя при этом сумма затрат на исследования и разработки преобрела тенденцию к снижению. К сожалению нет возможности оценить тенденции развития внешних привлечённых научно-исследовательских расзработок, но их сумма за 2007 год говорит о том, что они не имеют </w:t>
      </w:r>
      <w:r w:rsidR="00795917">
        <w:rPr>
          <w:lang w:val="uk-UA"/>
        </w:rPr>
        <w:t>р</w:t>
      </w:r>
      <w:r w:rsidR="0035127B">
        <w:rPr>
          <w:lang w:val="uk-UA"/>
        </w:rPr>
        <w:t xml:space="preserve">ешающей роли в промышенности Украины. </w:t>
      </w:r>
    </w:p>
    <w:p w:rsidR="0035127B" w:rsidRDefault="0035127B" w:rsidP="00576516">
      <w:pPr>
        <w:pStyle w:val="-"/>
        <w:ind w:firstLine="709"/>
        <w:rPr>
          <w:lang w:val="uk-UA"/>
        </w:rPr>
      </w:pPr>
      <w:r>
        <w:rPr>
          <w:lang w:val="uk-UA"/>
        </w:rPr>
        <w:t xml:space="preserve">Что касается непосредственно покупки новых технологий, то поотношению к среднему уровню за 2001 – 2006 года, в 2007 их сумма возросла почти вдвое. Это может говорить о том, что наметившиеся в течение предыдущего года перспективы модернизации производств и ассорртиментных групп реализуются, осуществляясь в большой степени за счёт покупки новых технологий, явившись при этом, фактором роста общих затрат на инновации. </w:t>
      </w:r>
    </w:p>
    <w:p w:rsidR="00D8149F" w:rsidRDefault="0035127B" w:rsidP="00576516">
      <w:pPr>
        <w:pStyle w:val="-"/>
        <w:ind w:firstLine="709"/>
        <w:rPr>
          <w:lang w:val="uk-UA"/>
        </w:rPr>
      </w:pPr>
      <w:r>
        <w:rPr>
          <w:lang w:val="uk-UA"/>
        </w:rPr>
        <w:t xml:space="preserve">Кроме непосредственной покупки </w:t>
      </w:r>
      <w:r w:rsidR="0022233C">
        <w:rPr>
          <w:lang w:val="uk-UA"/>
        </w:rPr>
        <w:t xml:space="preserve">технологий, международный трансфер технологий также включает </w:t>
      </w:r>
      <w:r w:rsidR="0022233C" w:rsidRPr="0022233C">
        <w:rPr>
          <w:lang w:val="uk-UA"/>
        </w:rPr>
        <w:t>покупк</w:t>
      </w:r>
      <w:r w:rsidR="0022233C">
        <w:rPr>
          <w:lang w:val="uk-UA"/>
        </w:rPr>
        <w:t>у</w:t>
      </w:r>
      <w:r w:rsidR="0022233C" w:rsidRPr="0022233C">
        <w:rPr>
          <w:lang w:val="uk-UA"/>
        </w:rPr>
        <w:t xml:space="preserve"> машин и оборудования связанных с внедрением инноваций</w:t>
      </w:r>
      <w:r w:rsidR="0022233C">
        <w:rPr>
          <w:lang w:val="uk-UA"/>
        </w:rPr>
        <w:t xml:space="preserve">. Этот показатель также удваивается в 2007 году. </w:t>
      </w:r>
    </w:p>
    <w:p w:rsidR="00576516" w:rsidRDefault="00576516" w:rsidP="00576516">
      <w:pPr>
        <w:pStyle w:val="-"/>
        <w:ind w:firstLine="709"/>
        <w:rPr>
          <w:lang w:val="uk-UA"/>
        </w:rPr>
      </w:pPr>
    </w:p>
    <w:p w:rsidR="00576516" w:rsidRDefault="00576516" w:rsidP="00576516">
      <w:pPr>
        <w:pStyle w:val="-"/>
        <w:ind w:firstLine="709"/>
        <w:rPr>
          <w:lang w:val="uk-UA"/>
        </w:rPr>
      </w:pPr>
      <w:r>
        <w:rPr>
          <w:lang w:val="uk-UA"/>
        </w:rPr>
        <w:t>Таблица 3</w:t>
      </w:r>
    </w:p>
    <w:p w:rsidR="00795917" w:rsidRDefault="00795917" w:rsidP="00576516">
      <w:pPr>
        <w:pStyle w:val="-"/>
        <w:ind w:firstLine="709"/>
        <w:rPr>
          <w:lang w:val="uk-UA"/>
        </w:rPr>
      </w:pPr>
      <w:r>
        <w:rPr>
          <w:lang w:val="uk-UA"/>
        </w:rPr>
        <w:t xml:space="preserve"> Источники финансирования технологических инноваций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1842"/>
        <w:gridCol w:w="1547"/>
        <w:gridCol w:w="1733"/>
        <w:gridCol w:w="1742"/>
        <w:gridCol w:w="1450"/>
      </w:tblGrid>
      <w:tr w:rsidR="00795917" w:rsidRPr="00576516">
        <w:trPr>
          <w:trHeight w:val="180"/>
        </w:trPr>
        <w:tc>
          <w:tcPr>
            <w:tcW w:w="0" w:type="auto"/>
            <w:vMerge w:val="restar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</w:p>
        </w:tc>
        <w:tc>
          <w:tcPr>
            <w:tcW w:w="960" w:type="pct"/>
            <w:vMerge w:val="restar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Общая сумма затрат</w:t>
            </w:r>
          </w:p>
        </w:tc>
        <w:tc>
          <w:tcPr>
            <w:tcW w:w="0" w:type="auto"/>
            <w:gridSpan w:val="4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В том числе за счёт средств</w:t>
            </w:r>
          </w:p>
        </w:tc>
      </w:tr>
      <w:tr w:rsidR="00795917" w:rsidRPr="00576516">
        <w:trPr>
          <w:trHeight w:val="180"/>
        </w:trPr>
        <w:tc>
          <w:tcPr>
            <w:tcW w:w="0" w:type="auto"/>
            <w:vMerge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собственных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государственного бюджета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иностранных инвесторов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Другие источники</w:t>
            </w:r>
          </w:p>
        </w:tc>
      </w:tr>
      <w:tr w:rsidR="00795917" w:rsidRPr="00576516">
        <w:trPr>
          <w:trHeight w:val="180"/>
        </w:trPr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</w:p>
        </w:tc>
        <w:tc>
          <w:tcPr>
            <w:tcW w:w="0" w:type="auto"/>
            <w:gridSpan w:val="5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млн. грн.</w:t>
            </w:r>
          </w:p>
        </w:tc>
      </w:tr>
      <w:tr w:rsidR="00795917" w:rsidRPr="00576516">
        <w:trPr>
          <w:trHeight w:val="189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2000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1757,1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1399,3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7,7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133,1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217,0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2001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1971,4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1654,0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55,8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58,5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203,1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2002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3013,8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2141,8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45,5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264,1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562,4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2003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3059,8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2148,4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93,0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130,0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688,4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2004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4534,6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3501,5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63,4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112,4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857,3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2005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5751,6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5045,4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28,1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157,9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520,2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2006</w:t>
            </w:r>
          </w:p>
        </w:tc>
        <w:tc>
          <w:tcPr>
            <w:tcW w:w="960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6160,0</w:t>
            </w:r>
          </w:p>
        </w:tc>
        <w:tc>
          <w:tcPr>
            <w:tcW w:w="808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5211,4</w:t>
            </w:r>
          </w:p>
        </w:tc>
        <w:tc>
          <w:tcPr>
            <w:tcW w:w="85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114,4</w:t>
            </w:r>
          </w:p>
        </w:tc>
        <w:tc>
          <w:tcPr>
            <w:tcW w:w="909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176,2</w:t>
            </w:r>
          </w:p>
        </w:tc>
        <w:tc>
          <w:tcPr>
            <w:tcW w:w="7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658,0</w:t>
            </w:r>
          </w:p>
        </w:tc>
      </w:tr>
      <w:tr w:rsidR="00795917" w:rsidRPr="00576516">
        <w:trPr>
          <w:trHeight w:val="190"/>
        </w:trPr>
        <w:tc>
          <w:tcPr>
            <w:tcW w:w="657" w:type="pct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2007</w:t>
            </w:r>
          </w:p>
        </w:tc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10850,9</w:t>
            </w:r>
          </w:p>
        </w:tc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7999,6</w:t>
            </w:r>
          </w:p>
        </w:tc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144,8</w:t>
            </w:r>
          </w:p>
        </w:tc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  <w:rPr>
                <w:b/>
              </w:rPr>
            </w:pPr>
            <w:r w:rsidRPr="00576516">
              <w:rPr>
                <w:b/>
              </w:rPr>
              <w:t>321,8</w:t>
            </w:r>
          </w:p>
        </w:tc>
        <w:tc>
          <w:tcPr>
            <w:tcW w:w="0" w:type="auto"/>
            <w:vAlign w:val="center"/>
          </w:tcPr>
          <w:p w:rsidR="00795917" w:rsidRPr="00576516" w:rsidRDefault="00795917" w:rsidP="00576516">
            <w:pPr>
              <w:spacing w:line="360" w:lineRule="auto"/>
              <w:jc w:val="both"/>
            </w:pPr>
            <w:r w:rsidRPr="00576516">
              <w:t>2384,7</w:t>
            </w:r>
          </w:p>
        </w:tc>
      </w:tr>
    </w:tbl>
    <w:p w:rsidR="00576516" w:rsidRDefault="00576516" w:rsidP="00576516">
      <w:pPr>
        <w:pStyle w:val="-"/>
        <w:ind w:firstLine="709"/>
        <w:rPr>
          <w:lang w:val="uk-UA"/>
        </w:rPr>
      </w:pPr>
    </w:p>
    <w:p w:rsidR="00576516" w:rsidRDefault="00795917" w:rsidP="00576516">
      <w:pPr>
        <w:pStyle w:val="-"/>
        <w:ind w:firstLine="709"/>
        <w:rPr>
          <w:lang w:val="uk-UA"/>
        </w:rPr>
      </w:pPr>
      <w:r>
        <w:rPr>
          <w:lang w:val="uk-UA"/>
        </w:rPr>
        <w:t>Вышесказанное иллюстрирует и таблица 3. Несмотря на стремительный рост государственных инвестиций, иностранные, возросшие в 2007 г. вдвое, были более стабильными в своём росте, а значит более независимыми и надёжными. Хотя при этом их размеры, не говоря уже о государственных, не идут ни в какое сравнение с инвестициями собственных средств предприятий.</w:t>
      </w:r>
    </w:p>
    <w:p w:rsidR="0086357B" w:rsidRPr="00576516" w:rsidRDefault="00576516" w:rsidP="00576516">
      <w:pPr>
        <w:pStyle w:val="-"/>
        <w:ind w:firstLine="709"/>
        <w:rPr>
          <w:b/>
          <w:caps/>
        </w:rPr>
      </w:pPr>
      <w:r>
        <w:rPr>
          <w:lang w:val="uk-UA"/>
        </w:rPr>
        <w:br w:type="page"/>
      </w:r>
      <w:r w:rsidR="0086357B" w:rsidRPr="00576516">
        <w:rPr>
          <w:b/>
          <w:caps/>
        </w:rPr>
        <w:t>заключение</w:t>
      </w:r>
    </w:p>
    <w:p w:rsidR="00576516" w:rsidRDefault="00576516" w:rsidP="00576516">
      <w:pPr>
        <w:pStyle w:val="-"/>
        <w:ind w:firstLine="709"/>
      </w:pPr>
    </w:p>
    <w:p w:rsidR="0086357B" w:rsidRDefault="00EA605E" w:rsidP="00576516">
      <w:pPr>
        <w:pStyle w:val="-"/>
        <w:ind w:firstLine="709"/>
      </w:pPr>
      <w:r>
        <w:t xml:space="preserve">Украинское машиностроение, похоже, не слишком надеется на поддержку государства или хотя бы создание нормальных условий для его развития. У предприятий, привлекающих сегодня серьезные инвестиции, много проблем, однако в активе многих из них - традиционно высокая культура производства, приобретенная еще в советские времена привычка ориентироваться на мировой уровень, большой опыт и наработки, мощные бренды. Они пережили худшие времена и сумели сохранить не только свои мощности, но и веру в возможность возрождения заводской марки, в возможность успешного развития и достойной конкурентоспособности. Сегодня именно они прокладывают путь для своих коллег, показывая своим примером возможные направления развития. Однако чтобы эти усилия дали хорошие и стабильные результаты, государству все же надо не уповать на инстинкт выживания украинской промышленности, а перейти к </w:t>
      </w:r>
      <w:r w:rsidR="003F4581">
        <w:t>конструктивным</w:t>
      </w:r>
      <w:r>
        <w:t xml:space="preserve"> реформам.</w:t>
      </w:r>
    </w:p>
    <w:p w:rsidR="0086357B" w:rsidRDefault="003F4581" w:rsidP="00576516">
      <w:pPr>
        <w:pStyle w:val="-"/>
        <w:ind w:firstLine="709"/>
      </w:pPr>
      <w:r>
        <w:t>М</w:t>
      </w:r>
      <w:r w:rsidR="0022233C">
        <w:t xml:space="preserve">ожно сказать, что финансовая активность инновационных предприятий существенно возросла, и связана в основном с покупкой новых технологий и нового высокотехнологичного оборудования. Показатели покупки новых технологий и </w:t>
      </w:r>
      <w:r w:rsidR="0022233C" w:rsidRPr="0022233C">
        <w:t>покупк</w:t>
      </w:r>
      <w:r w:rsidR="0022233C">
        <w:t>и</w:t>
      </w:r>
      <w:r w:rsidR="0022233C" w:rsidRPr="0022233C">
        <w:t xml:space="preserve"> машин и оборудования</w:t>
      </w:r>
      <w:r w:rsidR="0022233C">
        <w:t>,</w:t>
      </w:r>
      <w:r w:rsidR="0022233C" w:rsidRPr="0022233C">
        <w:t xml:space="preserve"> связанных с внедрением инноваций</w:t>
      </w:r>
      <w:r w:rsidR="0022233C">
        <w:t xml:space="preserve"> практически удвоились в прошлом 2007 году. Это свидетельствует о повышении международной активности инновационных предприятий и ориентации их на внешнюю конкурентную среду. Этот фактор является крайне важным для Украины в преддверии вступления в ВТО, который хотя бы задаёт положительную тенденцию для повышения международной конкуренто</w:t>
      </w:r>
      <w:r>
        <w:t>-</w:t>
      </w:r>
      <w:r w:rsidR="0022233C">
        <w:t>способности продукции украинского машиностроения. Кроме того, э</w:t>
      </w:r>
      <w:r>
        <w:t>то может также привести к снижению активности в сырьевых экспортных отраслях на фоне повышения её в отраслях, связанных с новыми технологиями. В целом, это не только улучшит в будущем инвестиционную привлекательность высокотехнологичного машиностроения Украины, но и улучшит платёжный баланс страны. Итоги 2007 года рисуют более обнадёживающие перспективы, чем прогнозы, дававшиеся в середине прошлого года.</w:t>
      </w:r>
    </w:p>
    <w:p w:rsidR="0086357B" w:rsidRPr="00576516" w:rsidRDefault="0086357B" w:rsidP="00576516">
      <w:pPr>
        <w:pStyle w:val="1"/>
        <w:tabs>
          <w:tab w:val="left" w:pos="284"/>
        </w:tabs>
        <w:spacing w:before="0" w:after="0" w:line="360" w:lineRule="auto"/>
        <w:jc w:val="left"/>
      </w:pPr>
      <w:r w:rsidRPr="0022233C">
        <w:rPr>
          <w:rFonts w:cs="Times New Roman"/>
          <w:b w:val="0"/>
          <w:bCs w:val="0"/>
          <w:caps w:val="0"/>
          <w:kern w:val="0"/>
          <w:szCs w:val="20"/>
        </w:rPr>
        <w:br w:type="page"/>
      </w:r>
      <w:r w:rsidRPr="00576516">
        <w:t>список источников информации</w:t>
      </w:r>
    </w:p>
    <w:p w:rsidR="00576516" w:rsidRPr="00576516" w:rsidRDefault="00576516" w:rsidP="00576516">
      <w:pPr>
        <w:tabs>
          <w:tab w:val="left" w:pos="284"/>
        </w:tabs>
        <w:spacing w:line="360" w:lineRule="auto"/>
      </w:pPr>
    </w:p>
    <w:p w:rsidR="00264167" w:rsidRPr="00576516" w:rsidRDefault="00264167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576516">
        <w:rPr>
          <w:lang w:val="uk-UA"/>
        </w:rPr>
        <w:t>Конішенко О.Л. Міжнародний маркетинг у діяльності українських підприємств. – К.: Знання, 2007. 446 с.</w:t>
      </w:r>
    </w:p>
    <w:p w:rsidR="00264167" w:rsidRPr="00576516" w:rsidRDefault="00264167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576516">
        <w:rPr>
          <w:lang w:val="uk-UA"/>
        </w:rPr>
        <w:t>Циганкова Т.М. Міжнародний маркетинг: теорія, моделі та бізнес технології: Монографія. Київський національий економічний університет – К.: КНЕУ, 2004. – 396.</w:t>
      </w:r>
    </w:p>
    <w:p w:rsidR="00487C98" w:rsidRPr="00576516" w:rsidRDefault="003B0D6E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05218F">
        <w:t>http://www.expert.ua/articles/9/0/4381/</w:t>
      </w:r>
      <w:r w:rsidR="00264167" w:rsidRPr="00576516">
        <w:rPr>
          <w:lang w:val="uk-UA"/>
        </w:rPr>
        <w:t xml:space="preserve"> – </w:t>
      </w:r>
      <w:r w:rsidR="00264167" w:rsidRPr="00576516">
        <w:t>Эксперт, Украинский деловой журнал</w:t>
      </w:r>
    </w:p>
    <w:p w:rsidR="00264167" w:rsidRPr="00576516" w:rsidRDefault="00264167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05218F">
        <w:t>http://www.</w:t>
      </w:r>
      <w:r w:rsidRPr="0005218F">
        <w:rPr>
          <w:lang w:val="en-US"/>
        </w:rPr>
        <w:t>kmu</w:t>
      </w:r>
      <w:r w:rsidRPr="0005218F">
        <w:t>.</w:t>
      </w:r>
      <w:r w:rsidRPr="0005218F">
        <w:rPr>
          <w:lang w:val="en-US"/>
        </w:rPr>
        <w:t>gov</w:t>
      </w:r>
      <w:r w:rsidRPr="0005218F">
        <w:t>.</w:t>
      </w:r>
      <w:r w:rsidRPr="0005218F">
        <w:rPr>
          <w:lang w:val="en-US"/>
        </w:rPr>
        <w:t>ua</w:t>
      </w:r>
      <w:r w:rsidRPr="00576516">
        <w:t xml:space="preserve"> –Урядовий портал</w:t>
      </w:r>
    </w:p>
    <w:p w:rsidR="003B0D6E" w:rsidRPr="00576516" w:rsidRDefault="003B0D6E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05218F">
        <w:rPr>
          <w:lang w:val="en-US"/>
        </w:rPr>
        <w:t>http</w:t>
      </w:r>
      <w:r w:rsidRPr="0005218F">
        <w:t>://</w:t>
      </w:r>
      <w:r w:rsidRPr="0005218F">
        <w:rPr>
          <w:lang w:val="en-US"/>
        </w:rPr>
        <w:t>www</w:t>
      </w:r>
      <w:r w:rsidRPr="0005218F">
        <w:t>.</w:t>
      </w:r>
      <w:r w:rsidRPr="0005218F">
        <w:rPr>
          <w:lang w:val="en-US"/>
        </w:rPr>
        <w:t>metalica</w:t>
      </w:r>
      <w:r w:rsidRPr="0005218F">
        <w:t>.</w:t>
      </w:r>
      <w:r w:rsidRPr="0005218F">
        <w:rPr>
          <w:lang w:val="en-US"/>
        </w:rPr>
        <w:t>kh</w:t>
      </w:r>
      <w:r w:rsidRPr="0005218F">
        <w:t>.</w:t>
      </w:r>
      <w:r w:rsidRPr="0005218F">
        <w:rPr>
          <w:lang w:val="en-US"/>
        </w:rPr>
        <w:t>ua</w:t>
      </w:r>
      <w:r w:rsidRPr="0005218F">
        <w:t>/</w:t>
      </w:r>
      <w:r w:rsidRPr="0005218F">
        <w:rPr>
          <w:lang w:val="en-US"/>
        </w:rPr>
        <w:t>mashinostroenie</w:t>
      </w:r>
      <w:r w:rsidRPr="0005218F">
        <w:t>_</w:t>
      </w:r>
      <w:r w:rsidRPr="0005218F">
        <w:rPr>
          <w:lang w:val="en-US"/>
        </w:rPr>
        <w:t>v</w:t>
      </w:r>
      <w:r w:rsidRPr="0005218F">
        <w:t>_</w:t>
      </w:r>
      <w:r w:rsidRPr="0005218F">
        <w:rPr>
          <w:lang w:val="en-US"/>
        </w:rPr>
        <w:t>odinochky</w:t>
      </w:r>
      <w:r w:rsidRPr="0005218F">
        <w:t>.</w:t>
      </w:r>
      <w:r w:rsidRPr="0005218F">
        <w:rPr>
          <w:lang w:val="en-US"/>
        </w:rPr>
        <w:t>php</w:t>
      </w:r>
    </w:p>
    <w:p w:rsidR="00264167" w:rsidRPr="00576516" w:rsidRDefault="00264167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05218F">
        <w:rPr>
          <w:bCs/>
        </w:rPr>
        <w:t>http://www.sdip.gov.ua/ukr/news/?id=6457</w:t>
      </w:r>
      <w:r w:rsidRPr="00576516">
        <w:rPr>
          <w:bCs/>
        </w:rPr>
        <w:t xml:space="preserve"> </w:t>
      </w:r>
      <w:r w:rsidRPr="00576516">
        <w:t>– Департамент интеллектуальной собственности Украины</w:t>
      </w:r>
    </w:p>
    <w:p w:rsidR="007904DE" w:rsidRPr="00576516" w:rsidRDefault="00264167" w:rsidP="00576516">
      <w:pPr>
        <w:pStyle w:val="-"/>
        <w:numPr>
          <w:ilvl w:val="0"/>
          <w:numId w:val="11"/>
        </w:numPr>
        <w:tabs>
          <w:tab w:val="clear" w:pos="1854"/>
          <w:tab w:val="left" w:pos="284"/>
        </w:tabs>
        <w:ind w:left="0" w:firstLine="0"/>
        <w:jc w:val="left"/>
      </w:pPr>
      <w:r w:rsidRPr="00576516">
        <w:rPr>
          <w:lang w:val="en-US"/>
        </w:rPr>
        <w:t>http</w:t>
      </w:r>
      <w:r w:rsidRPr="00576516">
        <w:t>://</w:t>
      </w:r>
      <w:r w:rsidR="007904DE" w:rsidRPr="0005218F">
        <w:rPr>
          <w:lang w:val="en-US"/>
        </w:rPr>
        <w:t>www</w:t>
      </w:r>
      <w:r w:rsidR="007904DE" w:rsidRPr="0005218F">
        <w:t>.</w:t>
      </w:r>
      <w:r w:rsidR="007904DE" w:rsidRPr="0005218F">
        <w:rPr>
          <w:lang w:val="en-US"/>
        </w:rPr>
        <w:t>ukrstat</w:t>
      </w:r>
      <w:r w:rsidR="007904DE" w:rsidRPr="0005218F">
        <w:t>.</w:t>
      </w:r>
      <w:r w:rsidR="007904DE" w:rsidRPr="0005218F">
        <w:rPr>
          <w:lang w:val="en-US"/>
        </w:rPr>
        <w:t>gov</w:t>
      </w:r>
      <w:r w:rsidR="007904DE" w:rsidRPr="0005218F">
        <w:t>.</w:t>
      </w:r>
      <w:r w:rsidR="007904DE" w:rsidRPr="0005218F">
        <w:rPr>
          <w:lang w:val="en-US"/>
        </w:rPr>
        <w:t>u</w:t>
      </w:r>
      <w:r w:rsidR="007904DE" w:rsidRPr="0005218F">
        <w:t>а</w:t>
      </w:r>
      <w:r w:rsidRPr="00576516">
        <w:rPr>
          <w:lang w:val="uk-UA"/>
        </w:rPr>
        <w:t xml:space="preserve"> </w:t>
      </w:r>
      <w:r w:rsidR="00795917" w:rsidRPr="00576516">
        <w:t xml:space="preserve"> – Державний комітет статистики України, 2008</w:t>
      </w:r>
      <w:r w:rsidRPr="00576516">
        <w:t xml:space="preserve"> р.</w:t>
      </w:r>
    </w:p>
    <w:p w:rsidR="0086357B" w:rsidRPr="00576516" w:rsidRDefault="0086357B" w:rsidP="00576516">
      <w:pPr>
        <w:pStyle w:val="-"/>
        <w:tabs>
          <w:tab w:val="left" w:pos="284"/>
        </w:tabs>
        <w:ind w:firstLine="0"/>
        <w:jc w:val="left"/>
        <w:rPr>
          <w:lang w:val="uk-UA"/>
        </w:rPr>
      </w:pPr>
      <w:bookmarkStart w:id="0" w:name="_GoBack"/>
      <w:bookmarkEnd w:id="0"/>
    </w:p>
    <w:sectPr w:rsidR="0086357B" w:rsidRPr="00576516" w:rsidSect="00576516">
      <w:footerReference w:type="even" r:id="rId8"/>
      <w:foot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A3" w:rsidRDefault="00437BA3">
      <w:r>
        <w:separator/>
      </w:r>
    </w:p>
  </w:endnote>
  <w:endnote w:type="continuationSeparator" w:id="0">
    <w:p w:rsidR="00437BA3" w:rsidRDefault="004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17" w:rsidRDefault="00795917" w:rsidP="007E7325">
    <w:pPr>
      <w:pStyle w:val="a5"/>
      <w:framePr w:wrap="around" w:vAnchor="text" w:hAnchor="margin" w:xAlign="right" w:y="1"/>
      <w:rPr>
        <w:rStyle w:val="a7"/>
      </w:rPr>
    </w:pPr>
  </w:p>
  <w:p w:rsidR="00795917" w:rsidRDefault="00795917" w:rsidP="003622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17" w:rsidRDefault="0005218F" w:rsidP="007E732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95917" w:rsidRDefault="00795917" w:rsidP="003622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A3" w:rsidRDefault="00437BA3">
      <w:r>
        <w:separator/>
      </w:r>
    </w:p>
  </w:footnote>
  <w:footnote w:type="continuationSeparator" w:id="0">
    <w:p w:rsidR="00437BA3" w:rsidRDefault="0043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A4F"/>
    <w:multiLevelType w:val="multilevel"/>
    <w:tmpl w:val="0F4A03DE"/>
    <w:lvl w:ilvl="0">
      <w:start w:val="1"/>
      <w:numFmt w:val="upperRoman"/>
      <w:lvlText w:val="РАЗДЕЛ 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23844BB"/>
    <w:multiLevelType w:val="multilevel"/>
    <w:tmpl w:val="324AA6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cs="Times New Roman" w:hint="default"/>
      </w:rPr>
    </w:lvl>
  </w:abstractNum>
  <w:abstractNum w:abstractNumId="2">
    <w:nsid w:val="42947450"/>
    <w:multiLevelType w:val="multilevel"/>
    <w:tmpl w:val="B8CAAE22"/>
    <w:lvl w:ilvl="0">
      <w:start w:val="1"/>
      <w:numFmt w:val="upperRoman"/>
      <w:lvlText w:val="РАЗДЕЛ %1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lvlText w:val="%2.1"/>
      <w:lvlJc w:val="left"/>
      <w:pPr>
        <w:tabs>
          <w:tab w:val="num" w:pos="1143"/>
        </w:tabs>
        <w:ind w:left="1143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">
    <w:nsid w:val="4BC876B9"/>
    <w:multiLevelType w:val="hybridMultilevel"/>
    <w:tmpl w:val="3B12A3D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56165550"/>
    <w:multiLevelType w:val="multilevel"/>
    <w:tmpl w:val="1416172C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0"/>
      <w:lvlText w:val="%1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5A676450"/>
    <w:multiLevelType w:val="hybridMultilevel"/>
    <w:tmpl w:val="39942DA0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66E82BF0"/>
    <w:multiLevelType w:val="hybridMultilevel"/>
    <w:tmpl w:val="B8CAB4DA"/>
    <w:lvl w:ilvl="0" w:tplc="55D0A006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7E0A0DE9"/>
    <w:multiLevelType w:val="hybridMultilevel"/>
    <w:tmpl w:val="B8AAE45E"/>
    <w:lvl w:ilvl="0" w:tplc="06F8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7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71"/>
    <w:rsid w:val="0005218F"/>
    <w:rsid w:val="000B162C"/>
    <w:rsid w:val="001A3C65"/>
    <w:rsid w:val="0022233C"/>
    <w:rsid w:val="00253A4B"/>
    <w:rsid w:val="00264167"/>
    <w:rsid w:val="002C14FA"/>
    <w:rsid w:val="00346F16"/>
    <w:rsid w:val="0035127B"/>
    <w:rsid w:val="003622AE"/>
    <w:rsid w:val="00393E71"/>
    <w:rsid w:val="003B0D6E"/>
    <w:rsid w:val="003B6704"/>
    <w:rsid w:val="003F4581"/>
    <w:rsid w:val="00437BA3"/>
    <w:rsid w:val="00486118"/>
    <w:rsid w:val="00487C98"/>
    <w:rsid w:val="00576516"/>
    <w:rsid w:val="00624E0C"/>
    <w:rsid w:val="007904DE"/>
    <w:rsid w:val="00795917"/>
    <w:rsid w:val="007E6A57"/>
    <w:rsid w:val="007E7325"/>
    <w:rsid w:val="0086357B"/>
    <w:rsid w:val="009112FD"/>
    <w:rsid w:val="009B66ED"/>
    <w:rsid w:val="009C7D6A"/>
    <w:rsid w:val="00A914CF"/>
    <w:rsid w:val="00AD4731"/>
    <w:rsid w:val="00AE5E7A"/>
    <w:rsid w:val="00B952C3"/>
    <w:rsid w:val="00CE08F0"/>
    <w:rsid w:val="00D04DA6"/>
    <w:rsid w:val="00D8149F"/>
    <w:rsid w:val="00DC78B1"/>
    <w:rsid w:val="00E061E5"/>
    <w:rsid w:val="00EA605E"/>
    <w:rsid w:val="00ED411A"/>
    <w:rsid w:val="00EE78D2"/>
    <w:rsid w:val="00EF401D"/>
    <w:rsid w:val="00F43412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95D3D43-4892-4B9A-B19C-D0E8C7D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52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3622AE"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3B6704"/>
    <w:pPr>
      <w:keepNext/>
      <w:numPr>
        <w:ilvl w:val="1"/>
        <w:numId w:val="7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3B6704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2"/>
    <w:uiPriority w:val="59"/>
    <w:rsid w:val="007E6A5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3622A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3622AE"/>
    <w:rPr>
      <w:rFonts w:cs="Times New Roman"/>
    </w:rPr>
  </w:style>
  <w:style w:type="paragraph" w:customStyle="1" w:styleId="-">
    <w:name w:val="Обуычный-гост"/>
    <w:basedOn w:val="a0"/>
    <w:rsid w:val="00CE08F0"/>
    <w:pPr>
      <w:spacing w:line="360" w:lineRule="auto"/>
      <w:ind w:firstLine="567"/>
      <w:jc w:val="both"/>
    </w:pPr>
    <w:rPr>
      <w:sz w:val="28"/>
    </w:rPr>
  </w:style>
  <w:style w:type="paragraph" w:customStyle="1" w:styleId="a">
    <w:name w:val="№Заголовок"/>
    <w:basedOn w:val="1"/>
    <w:next w:val="-"/>
    <w:rsid w:val="003B6704"/>
    <w:pPr>
      <w:numPr>
        <w:numId w:val="7"/>
      </w:numPr>
    </w:pPr>
    <w:rPr>
      <w:b w:val="0"/>
    </w:rPr>
  </w:style>
  <w:style w:type="paragraph" w:customStyle="1" w:styleId="2">
    <w:name w:val="№Заголовок 2"/>
    <w:basedOn w:val="20"/>
    <w:next w:val="-"/>
    <w:rsid w:val="003B6704"/>
    <w:pPr>
      <w:numPr>
        <w:numId w:val="8"/>
      </w:numPr>
      <w:spacing w:before="120"/>
    </w:pPr>
  </w:style>
  <w:style w:type="paragraph" w:customStyle="1" w:styleId="31">
    <w:name w:val="№заголовок 3"/>
    <w:basedOn w:val="3"/>
    <w:next w:val="-"/>
    <w:rsid w:val="003B6704"/>
    <w:pPr>
      <w:numPr>
        <w:ilvl w:val="0"/>
        <w:numId w:val="0"/>
      </w:numPr>
      <w:spacing w:line="360" w:lineRule="auto"/>
    </w:pPr>
    <w:rPr>
      <w:rFonts w:ascii="Times New Roman" w:hAnsi="Times New Roman"/>
      <w:sz w:val="28"/>
    </w:rPr>
  </w:style>
  <w:style w:type="paragraph" w:styleId="a8">
    <w:name w:val="Normal (Web)"/>
    <w:basedOn w:val="a0"/>
    <w:uiPriority w:val="99"/>
    <w:rsid w:val="00487C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3B0D6E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rsid w:val="002641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50;&#1055;_&#1056;&#1045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КП_РЕФ.dot</Template>
  <TotalTime>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2014-02-28T03:33:00Z</dcterms:created>
  <dcterms:modified xsi:type="dcterms:W3CDTF">2014-02-28T03:33:00Z</dcterms:modified>
</cp:coreProperties>
</file>