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8AE" w:rsidRDefault="00A135CD">
      <w:pPr>
        <w:pStyle w:val="1"/>
        <w:jc w:val="center"/>
      </w:pPr>
      <w:r>
        <w:t>Основные тенденции формирования, распределения и использования трудовых ресурсов в регионах страны</w:t>
      </w:r>
    </w:p>
    <w:p w:rsidR="000978AE" w:rsidRPr="00A135CD" w:rsidRDefault="00A135CD">
      <w:pPr>
        <w:pStyle w:val="a3"/>
        <w:divId w:val="958144040"/>
      </w:pPr>
      <w:r>
        <w:rPr>
          <w:b/>
          <w:bCs/>
        </w:rPr>
        <w:t>. Проблемы изучения и формирования рынка рабочей силы</w:t>
      </w:r>
    </w:p>
    <w:p w:rsidR="000978AE" w:rsidRDefault="00A135CD">
      <w:pPr>
        <w:pStyle w:val="a3"/>
        <w:divId w:val="958144040"/>
      </w:pPr>
      <w:r>
        <w:rPr>
          <w:b/>
          <w:bCs/>
        </w:rPr>
        <w:t> </w:t>
      </w:r>
    </w:p>
    <w:p w:rsidR="000978AE" w:rsidRDefault="00A135CD">
      <w:pPr>
        <w:pStyle w:val="a3"/>
        <w:divId w:val="958144040"/>
      </w:pPr>
      <w:r>
        <w:t>На современном этапе необходимое равновесие на рынке труда как элемент эффективной занятости должно достигаться путем сохранения имеющихся рабочих мест, что предполагает их качественное развитие. В 1996 году тенденции развития рынка труда в России кардинально не изменились. Ситуацию в сфере занятости характеризовали : рост общей численности безработных; умеренный рост уровня безработицы, регистрируемой органами ФСЗ России; четко выраженное влияние сезонных факторов на рынок труда. Относительно новыми явлениями стали заметные ухудшения между спросом и предложением на официально регистрируемом рынке труда страны, стабилизация численности работников, занятых неполное рабочее время или же находящихся в административных отпусках, а также замедление снижения количества  занятых в экономике по сравнению с 1995 годом.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  <w:gridCol w:w="2130"/>
        <w:gridCol w:w="2130"/>
        <w:gridCol w:w="2130"/>
      </w:tblGrid>
      <w:tr w:rsidR="000978AE">
        <w:trPr>
          <w:divId w:val="958144040"/>
          <w:tblCellSpacing w:w="0" w:type="dxa"/>
        </w:trPr>
        <w:tc>
          <w:tcPr>
            <w:tcW w:w="8535" w:type="dxa"/>
            <w:gridSpan w:val="4"/>
            <w:hideMark/>
          </w:tcPr>
          <w:p w:rsidR="000978AE" w:rsidRPr="00A135CD" w:rsidRDefault="00A135CD">
            <w:pPr>
              <w:pStyle w:val="a3"/>
            </w:pPr>
            <w:bookmarkStart w:id="0" w:name="_Toc400707613"/>
            <w:r w:rsidRPr="00A135CD">
              <w:rPr>
                <w:b/>
                <w:bCs/>
                <w:i/>
                <w:iCs/>
              </w:rPr>
              <w:t>Темпы прироста числа официально зарегистрированных безработных в России в 1994 - 1995 годах, %</w:t>
            </w:r>
            <w:bookmarkEnd w:id="0"/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Месяц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1994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1995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1996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Январь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8,78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6,98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4,57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Февраль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10,14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10,71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7,51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Март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5,71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9,49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4,46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 квартал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 xml:space="preserve">26,66 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29,67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17,43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Апрель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2,60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8,91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3,36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Май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- 1,36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3,34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0,38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Июнь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- 3,15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3,31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0,57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2 квартал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- 1,98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16,26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4,34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Июль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- 0,00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5,12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2,18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Август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- 0,00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5,13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2,42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Сентябрь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- 1,11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2,41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1,31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3 квартал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- 1,55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13,18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5,98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Октябрь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3,17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3,48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2,80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Ноябрь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6,97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5,04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5,00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Декабрь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7,23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5,56</w:t>
            </w:r>
          </w:p>
        </w:tc>
        <w:tc>
          <w:tcPr>
            <w:tcW w:w="2130" w:type="dxa"/>
            <w:hideMark/>
          </w:tcPr>
          <w:p w:rsidR="000978AE" w:rsidRDefault="00A135CD">
            <w:r>
              <w:t>5,46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4 квартал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18,34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14,74</w:t>
            </w:r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13,59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bookmarkStart w:id="1" w:name="_Toc400707614"/>
            <w:r w:rsidRPr="00A135CD">
              <w:rPr>
                <w:b/>
                <w:bCs/>
              </w:rPr>
              <w:t>В целом за год</w:t>
            </w:r>
            <w:bookmarkEnd w:id="1"/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bookmarkStart w:id="2" w:name="_Toc400707615"/>
            <w:r w:rsidRPr="00A135CD">
              <w:rPr>
                <w:b/>
                <w:bCs/>
              </w:rPr>
              <w:t>44,63</w:t>
            </w:r>
            <w:bookmarkEnd w:id="2"/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bookmarkStart w:id="3" w:name="_Toc400707616"/>
            <w:r w:rsidRPr="00A135CD">
              <w:rPr>
                <w:b/>
                <w:bCs/>
              </w:rPr>
              <w:t>95,79</w:t>
            </w:r>
            <w:bookmarkEnd w:id="3"/>
          </w:p>
        </w:tc>
        <w:tc>
          <w:tcPr>
            <w:tcW w:w="2130" w:type="dxa"/>
            <w:hideMark/>
          </w:tcPr>
          <w:p w:rsidR="000978AE" w:rsidRPr="00A135CD" w:rsidRDefault="00A135CD">
            <w:pPr>
              <w:pStyle w:val="a3"/>
            </w:pPr>
            <w:bookmarkStart w:id="4" w:name="_Toc400707617"/>
            <w:r w:rsidRPr="00A135CD">
              <w:rPr>
                <w:b/>
                <w:bCs/>
              </w:rPr>
              <w:t>46,25</w:t>
            </w:r>
            <w:bookmarkEnd w:id="4"/>
          </w:p>
        </w:tc>
      </w:tr>
    </w:tbl>
    <w:p w:rsidR="000978AE" w:rsidRPr="00A135CD" w:rsidRDefault="00A135CD">
      <w:pPr>
        <w:pStyle w:val="a3"/>
        <w:divId w:val="958144040"/>
      </w:pPr>
      <w:r>
        <w:t>За 1996 год и начало 1997 г.  увеличилась   нагрузка на органы государственной службы занятости, что обусловлено опережающим ростом численности официально зарегистрированных безработных. Доля последних в общем количестве безработных  увеличилась к концу 1996г.  до  41% ( в конце 1995г.  она составляла 29,1%, в 1994 г.  -  19,1%.). В 1996г.  прирост безработных, состоящих на учете в центрах занятости, превысил общий прирост безработных на 20%. Таким образом, в ближайшей перспективе ситуацию на российском   рынке труда скорее всего будут определять процессы, связанные со структурным перераспределением безработных по их категориям.</w:t>
      </w:r>
    </w:p>
    <w:p w:rsidR="000978AE" w:rsidRDefault="00A135CD">
      <w:pPr>
        <w:pStyle w:val="a3"/>
        <w:divId w:val="958144040"/>
      </w:pPr>
      <w:r>
        <w:t>В 1996г.  число официально зарегистрированных безработных в России увеличилось на 920 тыс.  человек, что на 15% больше абсолютного прироста числа безработных в1995году. Регионы России сильно различаются по изменению численности официально зарегистрированных безработных.  Если в четырех из них - Орловской, Магаданской, Курской и Липецкой областях количество безработных сократилось (соответственно на 20%,11%,10% и 1%), то в Читинской обл.  Оно увеличилось в 3,26 раза, в Смоленской обл. - в 2,7 раза. В 1995 году количество зарегистрированных безработных сократилось только в Республике Северная Осетия ( на 1% ), наибольшим был их рост в Карачаево-Черкесской Республике, Ханты-Мансийском автономном округе и Еврейской автономной области ( соответственно в 4,78 , 4,09  и 4,02 раза).</w:t>
      </w:r>
    </w:p>
    <w:p w:rsidR="000978AE" w:rsidRDefault="00A135CD">
      <w:pPr>
        <w:pStyle w:val="a3"/>
        <w:divId w:val="958144040"/>
      </w:pPr>
      <w:r>
        <w:t>Безработные, зарегистрированные в службе занятости, в 1996 году сосредотачивались в регионах с наилучшим экономическим положением. Хотя их концентрация несколько снизилась. Доля 10 регионов с наибольшим количеством   безработных в общем числе последних составила к началу   1997году 28,4% , в то время как в начале 1996года она достигала 30,3% , а в начале 1995года - 34,9%. Доля же 10 регионов , в которых число безработных было наименьшим, в 1996году возросла в несколько большей степени, чем в1995году - с 0,61% до 0,75%.</w:t>
      </w:r>
    </w:p>
    <w:p w:rsidR="000978AE" w:rsidRDefault="00A135CD">
      <w:pPr>
        <w:pStyle w:val="a3"/>
        <w:divId w:val="958144040"/>
      </w:pPr>
      <w:r>
        <w:t xml:space="preserve">Обострилась конкуренция за свободные   рабочие места. Если в начале 1996 года на одну вакансию в среднем по стране приходилось 5,02 зарегистрированных безработных, то в начале 1997 года - уже 7,52, или почти на 50% больше. При увеличении численности официально зарегистрированных безработных в стране количество безработных , приходящихся в среднем на одну заявленную работодателями вакансию , увеличилась в 1,7 раза. Таким образом, эластичность спроса и предложение на рынке труда по росту числа безработных составила в 1996 году 1,06. Это явилось одним из следствий политики финансовой стабилизации, проводившейся в 1996 году, когда содержание избыточных рабочих мест, во всяком случае  налогооблагаемом секторе экономики, для многих работодателей становилось невозможным в результате ужесточения финансовых ограничений. </w:t>
      </w:r>
    </w:p>
    <w:p w:rsidR="000978AE" w:rsidRDefault="00A135CD">
      <w:pPr>
        <w:pStyle w:val="a3"/>
        <w:divId w:val="958144040"/>
      </w:pPr>
      <w:r>
        <w:t xml:space="preserve">В 1996 году снижение напряженности на рынке труда произошло только в 12 регионах, причем наиболее значительное - в Брянской области ( на 46,3 человека в расчете на одну вакансию ) , в Кабардино - Балкарской  Республике   (  на 15,1 человека ) и Калининградской области  ( на 12,3 человека ). </w:t>
      </w:r>
    </w:p>
    <w:p w:rsidR="000978AE" w:rsidRDefault="00A135CD">
      <w:pPr>
        <w:pStyle w:val="a3"/>
        <w:divId w:val="958144040"/>
      </w:pPr>
      <w:r>
        <w:t>Годовая динамика  потребности в  работниках , заявленной предприятиями   и организациями, в 1996 году отражала сезонные особенности рынки труда в России. Так , в январе - марте среднее число вакансий составляло 320 тысяч , в апреле - июне - 406, в июле - сентябре - 453 и в октябре - декабре - 350 тысяч.</w:t>
      </w:r>
    </w:p>
    <w:p w:rsidR="000978AE" w:rsidRDefault="00A135CD">
      <w:pPr>
        <w:pStyle w:val="a3"/>
        <w:divId w:val="958144040"/>
      </w:pPr>
      <w:r>
        <w:t>В 1996 году продолжало изменяться группировка регионов страны по числу безработных, приходящихся на одно свободное рабочее место ( таблица 2 ). Эти изменения, как и в 1995 году проявились  прежде всего в уменьшении числа регионов с невысокой напряженностью на рынке труда. Но если в 1995 году наиболее заметно ( на 21 ) уменьшилась группа регионов , где в  расчете на одну вакансию приходилось один - два безработных, то в 1996 году пик сокращения пришелся на те из них, в которых в расчете на одну вакансию приходилось два- пять и пять - десять зарегистрированных в службе занятости безработных. В целом же интенсивность межгрупповых перемещений регионов в 1996 году по сравнению с 1995 годом снизилась на 32%, что также свидетельствовало об определенной стабилизации рынка труда в России.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5"/>
        <w:gridCol w:w="1110"/>
        <w:gridCol w:w="1110"/>
        <w:gridCol w:w="1110"/>
        <w:gridCol w:w="1110"/>
        <w:gridCol w:w="1110"/>
      </w:tblGrid>
      <w:tr w:rsidR="000978AE">
        <w:trPr>
          <w:divId w:val="958144040"/>
          <w:tblCellSpacing w:w="0" w:type="dxa"/>
        </w:trPr>
        <w:tc>
          <w:tcPr>
            <w:tcW w:w="8520" w:type="dxa"/>
            <w:gridSpan w:val="6"/>
            <w:hideMark/>
          </w:tcPr>
          <w:p w:rsidR="000978AE" w:rsidRPr="00A135CD" w:rsidRDefault="00A135CD">
            <w:pPr>
              <w:pStyle w:val="a3"/>
            </w:pPr>
            <w:bookmarkStart w:id="5" w:name="_Toc400707618"/>
            <w:r w:rsidRPr="00A135CD">
              <w:rPr>
                <w:b/>
                <w:bCs/>
                <w:i/>
                <w:iCs/>
              </w:rPr>
              <w:t>Распределение регионов РФ по соотношению между спросом и предложением на рынке труда</w:t>
            </w:r>
            <w:bookmarkEnd w:id="5"/>
          </w:p>
        </w:tc>
      </w:tr>
      <w:tr w:rsidR="000978AE">
        <w:trPr>
          <w:divId w:val="958144040"/>
          <w:tblCellSpacing w:w="0" w:type="dxa"/>
        </w:trPr>
        <w:tc>
          <w:tcPr>
            <w:tcW w:w="2940" w:type="dxa"/>
            <w:hideMark/>
          </w:tcPr>
          <w:p w:rsidR="000978AE" w:rsidRDefault="00A135CD">
            <w:r>
              <w:t>Число безработных в расчете на одну вакансию, человек</w:t>
            </w:r>
          </w:p>
        </w:tc>
        <w:tc>
          <w:tcPr>
            <w:tcW w:w="111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t>01.01</w:t>
            </w:r>
          </w:p>
          <w:p w:rsidR="000978AE" w:rsidRPr="00A135CD" w:rsidRDefault="00A135CD">
            <w:pPr>
              <w:pStyle w:val="a3"/>
            </w:pPr>
            <w:r w:rsidRPr="00A135CD">
              <w:t>1995 г</w:t>
            </w:r>
          </w:p>
        </w:tc>
        <w:tc>
          <w:tcPr>
            <w:tcW w:w="111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t>01.01</w:t>
            </w:r>
          </w:p>
          <w:p w:rsidR="000978AE" w:rsidRPr="00A135CD" w:rsidRDefault="00A135CD">
            <w:pPr>
              <w:pStyle w:val="a3"/>
            </w:pPr>
            <w:r w:rsidRPr="00A135CD">
              <w:t>1996 г</w:t>
            </w:r>
          </w:p>
        </w:tc>
        <w:tc>
          <w:tcPr>
            <w:tcW w:w="111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t>01.01</w:t>
            </w:r>
          </w:p>
          <w:p w:rsidR="000978AE" w:rsidRPr="00A135CD" w:rsidRDefault="00A135CD">
            <w:pPr>
              <w:pStyle w:val="a3"/>
            </w:pPr>
            <w:r w:rsidRPr="00A135CD">
              <w:t>1997 г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Измене-ние в 1995 г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Измене-ние в 1996г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940" w:type="dxa"/>
            <w:hideMark/>
          </w:tcPr>
          <w:p w:rsidR="000978AE" w:rsidRDefault="00A135CD">
            <w:r>
              <w:t>До 1,00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7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3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1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- 4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- 2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940" w:type="dxa"/>
            <w:hideMark/>
          </w:tcPr>
          <w:p w:rsidR="000978AE" w:rsidRDefault="00A135CD">
            <w:r>
              <w:t>1,01 - 2,00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24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3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- 21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- 3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940" w:type="dxa"/>
            <w:hideMark/>
          </w:tcPr>
          <w:p w:rsidR="000978AE" w:rsidRDefault="00A135CD">
            <w:r>
              <w:t>2,01 - 5,00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23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25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19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+ 2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- 6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940" w:type="dxa"/>
            <w:hideMark/>
          </w:tcPr>
          <w:p w:rsidR="000978AE" w:rsidRDefault="00A135CD">
            <w:r>
              <w:t>5,01 - 10,00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13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23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17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+ 10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- 6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940" w:type="dxa"/>
            <w:hideMark/>
          </w:tcPr>
          <w:p w:rsidR="000978AE" w:rsidRDefault="00A135CD">
            <w:r>
              <w:t>10,01 - 25,00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17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21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26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+ 4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+ 5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940" w:type="dxa"/>
            <w:hideMark/>
          </w:tcPr>
          <w:p w:rsidR="000978AE" w:rsidRDefault="00A135CD">
            <w:r>
              <w:t>25,01 - 50,00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3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9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14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+ 6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+ 5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2940" w:type="dxa"/>
            <w:hideMark/>
          </w:tcPr>
          <w:p w:rsidR="000978AE" w:rsidRDefault="00A135CD">
            <w:r>
              <w:t>Более 50,00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2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5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12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+ 3</w:t>
            </w:r>
          </w:p>
        </w:tc>
        <w:tc>
          <w:tcPr>
            <w:tcW w:w="1110" w:type="dxa"/>
            <w:hideMark/>
          </w:tcPr>
          <w:p w:rsidR="000978AE" w:rsidRDefault="00A135CD">
            <w:r>
              <w:t>+ 7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8535" w:type="dxa"/>
            <w:gridSpan w:val="6"/>
            <w:hideMark/>
          </w:tcPr>
          <w:p w:rsidR="000978AE" w:rsidRDefault="00A135CD">
            <w:r>
              <w:t>Примечание. Для приведения расчетов к единой региональной базе принято допущение, что показатель напряженности на рынке труда Республики Чечня превысил к началу 1997 года 70 человеко / вакансий.</w:t>
            </w:r>
          </w:p>
        </w:tc>
      </w:tr>
    </w:tbl>
    <w:p w:rsidR="000978AE" w:rsidRPr="00A135CD" w:rsidRDefault="00A135CD">
      <w:pPr>
        <w:pStyle w:val="a3"/>
        <w:divId w:val="958144040"/>
      </w:pPr>
      <w:r>
        <w:t>Средняя продолжительность безработицы ( она условно определяется как величина, обратная отношению числа безработных, снятых с учета в течение отчетного месяца, к общему числу безработных, состоявших на учете в начале отчетного месяца; этот показатель определяет выраженную в месяцах продолжительность периода, в течение которого органы государственной службы занятости в регионах снимут с учета всех имевшихся к началу месяца безработных при уровне снятия их с учета, зафиксированном отчетном месяце) увеличилась в России с 7,7 месяцев в декабре 1995 года до 10,3 месяцев в декабре 1996 года, или  33,8%. Эластичность роста средней продолжительности безработных по росту напряженности на рынке труда составила, следовательно, 0,68, а по росту общей численности безработных - 0,8. Иными словами, в настоящее время регистрируемый рынок труда России приближается к такому состоянию, когда прирост численности безработных вызывает адекватные ему увеличения средней продолжительности безработицы.</w:t>
      </w:r>
    </w:p>
    <w:p w:rsidR="000978AE" w:rsidRDefault="00A135CD">
      <w:pPr>
        <w:pStyle w:val="a3"/>
        <w:divId w:val="958144040"/>
      </w:pPr>
      <w:r>
        <w:t>Изменения распределения регионов о средней продолжительности безработицы в 1996 году характеризуется данными, приведенными в таблице 3. Они свидетельствуют, что в 1996 году анализируемый показатель достаточно резко ухудшился. Например, с декабря 1995 года до декабря 1996 года количество регионов, в которых средняя продолжительность безработицы не превышала 6 месяцев, сократилось в 4,3 раза, а число регионов с застойной безработицей       ( более одного года ) возросло в 3,3 раза.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  <w:gridCol w:w="900"/>
        <w:gridCol w:w="900"/>
        <w:gridCol w:w="900"/>
        <w:gridCol w:w="900"/>
        <w:gridCol w:w="900"/>
        <w:gridCol w:w="900"/>
      </w:tblGrid>
      <w:tr w:rsidR="000978AE">
        <w:trPr>
          <w:divId w:val="958144040"/>
          <w:tblCellSpacing w:w="0" w:type="dxa"/>
        </w:trPr>
        <w:tc>
          <w:tcPr>
            <w:tcW w:w="8520" w:type="dxa"/>
            <w:gridSpan w:val="7"/>
            <w:hideMark/>
          </w:tcPr>
          <w:p w:rsidR="000978AE" w:rsidRPr="00A135CD" w:rsidRDefault="00A135CD">
            <w:pPr>
              <w:pStyle w:val="a3"/>
            </w:pPr>
            <w:bookmarkStart w:id="6" w:name="_Toc400707619"/>
            <w:r w:rsidRPr="00A135CD">
              <w:rPr>
                <w:b/>
                <w:bCs/>
                <w:i/>
                <w:iCs/>
              </w:rPr>
              <w:t>Распределение регионов Российской Федерации по средней продолжительности безработицы в 1996 году</w:t>
            </w:r>
            <w:bookmarkEnd w:id="6"/>
            <w:r w:rsidRPr="00A135CD">
              <w:t xml:space="preserve">. 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309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Средняя продолжительность безработицы, месяц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Дека-брь 1995 г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 </w:t>
            </w:r>
          </w:p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%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Дека-брь 1996 г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 </w:t>
            </w:r>
          </w:p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%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Изме-нение, всего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</w:rPr>
              <w:t>Изме - нение, п. п.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3090" w:type="dxa"/>
            <w:hideMark/>
          </w:tcPr>
          <w:p w:rsidR="000978AE" w:rsidRDefault="00A135CD">
            <w:r>
              <w:t>До 3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2,2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0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-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- 2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- 2,2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3090" w:type="dxa"/>
            <w:hideMark/>
          </w:tcPr>
          <w:p w:rsidR="000978AE" w:rsidRDefault="00A135CD">
            <w:r>
              <w:t>3,1 - 6,0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24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27,3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6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6,8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- 18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16,5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3090" w:type="dxa"/>
            <w:hideMark/>
          </w:tcPr>
          <w:p w:rsidR="000978AE" w:rsidRDefault="00A135CD">
            <w:r>
              <w:t>6,1 - 9,0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37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42,0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24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27,3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- 13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- 14,7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3090" w:type="dxa"/>
            <w:hideMark/>
          </w:tcPr>
          <w:p w:rsidR="000978AE" w:rsidRDefault="00A135CD">
            <w:r>
              <w:t>9,1 - 12,0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18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20,5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35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39,8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+ 17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+ 19,3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3090" w:type="dxa"/>
            <w:hideMark/>
          </w:tcPr>
          <w:p w:rsidR="000978AE" w:rsidRDefault="00A135CD">
            <w:r>
              <w:t>Больше 12,00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7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8,0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23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26,1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+16</w:t>
            </w:r>
          </w:p>
        </w:tc>
        <w:tc>
          <w:tcPr>
            <w:tcW w:w="900" w:type="dxa"/>
            <w:hideMark/>
          </w:tcPr>
          <w:p w:rsidR="000978AE" w:rsidRDefault="00A135CD">
            <w:r>
              <w:t>+16,1</w:t>
            </w:r>
          </w:p>
        </w:tc>
      </w:tr>
      <w:tr w:rsidR="000978AE">
        <w:trPr>
          <w:divId w:val="958144040"/>
          <w:tblCellSpacing w:w="0" w:type="dxa"/>
        </w:trPr>
        <w:tc>
          <w:tcPr>
            <w:tcW w:w="309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Итого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88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88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900" w:type="dxa"/>
            <w:hideMark/>
          </w:tcPr>
          <w:p w:rsidR="000978AE" w:rsidRPr="00A135CD" w:rsidRDefault="00A135CD">
            <w:pPr>
              <w:pStyle w:val="a3"/>
            </w:pPr>
            <w:r w:rsidRPr="00A135CD">
              <w:rPr>
                <w:b/>
                <w:bCs/>
                <w:i/>
                <w:iCs/>
              </w:rPr>
              <w:t> </w:t>
            </w:r>
          </w:p>
        </w:tc>
      </w:tr>
    </w:tbl>
    <w:p w:rsidR="000978AE" w:rsidRPr="00A135CD" w:rsidRDefault="00A135CD">
      <w:pPr>
        <w:pStyle w:val="a3"/>
        <w:divId w:val="958144040"/>
      </w:pPr>
      <w:r>
        <w:t xml:space="preserve">   </w:t>
      </w:r>
    </w:p>
    <w:p w:rsidR="000978AE" w:rsidRDefault="00A135CD">
      <w:pPr>
        <w:pStyle w:val="a3"/>
        <w:divId w:val="958144040"/>
      </w:pPr>
      <w:r>
        <w:t>Несмотря на увеличение средней продолжительности безработицы в 1996 году, оно происходило несколько более медленными темпами по сравнению с темпами роста численности официально зарегистрированных безработных. В расчете на 1% увеличение числа безработных средняя продолжительность безработицы повышалась в среднем на 0,79% ( в  абсолютном выражении- на 0,08 месяцев , или приблизительно на 2,5 дня).</w:t>
      </w:r>
    </w:p>
    <w:p w:rsidR="000978AE" w:rsidRDefault="00A135CD">
      <w:pPr>
        <w:pStyle w:val="a3"/>
        <w:divId w:val="958144040"/>
      </w:pPr>
      <w:r>
        <w:t>Не превышало единицу и отношение процентных приростов средней продолжительности безработицы и числа безработных, приходящихся в среднем на одно рабочее место: он составило 0,65. В абсолютных показателях увеличение числа безработных на одну вакансию сопровождалось ростом средней продолжительности безработицы чуть более чем на один месяц.</w:t>
      </w:r>
    </w:p>
    <w:p w:rsidR="000978AE" w:rsidRDefault="00A135CD">
      <w:pPr>
        <w:pStyle w:val="a3"/>
        <w:divId w:val="958144040"/>
      </w:pPr>
      <w:r>
        <w:t>Количественные взаимосвязи между основными показателями, характеризующие состояние рынка труда в регионах описывают ранговые коэффициенты корреляции Спирмэна.</w:t>
      </w:r>
    </w:p>
    <w:p w:rsidR="000978AE" w:rsidRDefault="00A135CD">
      <w:pPr>
        <w:pStyle w:val="a3"/>
        <w:divId w:val="958144040"/>
      </w:pPr>
      <w:r>
        <w:t>В 1996 году наиболее тесными были три связи: между уровнем безработицы и числом безработных в расчете на одну вакансию ( коэффициент корреляции составил 0,78); между числом безработных в расчете на одну вакансию и продолжительностью безработицы ( 0,63 ); между уровнем безработицы и ее продолжительностью ( 0,54 ).</w:t>
      </w:r>
    </w:p>
    <w:p w:rsidR="000978AE" w:rsidRDefault="00A135CD">
      <w:pPr>
        <w:pStyle w:val="a3"/>
        <w:divId w:val="958144040"/>
      </w:pPr>
      <w:r>
        <w:t>Численность занятых на предприятиях отраслей, рассмотренных в п.3 в 1996 году сократилась в 84 из 88 регионов РФ, за исключением Ингушской Республики, Ямало - Немецкого и Ханты - Мансийского АО, а также республики Башкортостан, в которых превышение принятых над выбывшими составило соответственно 3,4%, 2,3, 0,2 и 0,1% среднесписочной численности работников. Наибольшее превышение выбывших над принятыми было отмечено в Чукотском АО ( 12,6% ), Владимирской ( 6,3% ) и Сахалинской ( 6,2% ) областях.</w:t>
      </w:r>
    </w:p>
    <w:p w:rsidR="000978AE" w:rsidRDefault="00A135CD">
      <w:pPr>
        <w:pStyle w:val="a3"/>
        <w:divId w:val="958144040"/>
      </w:pPr>
      <w:r>
        <w:t xml:space="preserve">Сокращение численности работников на крупных предприятиях практически не повлияло на рост численности зарегистрированных безработных. </w:t>
      </w:r>
      <w:bookmarkStart w:id="7" w:name="_GoBack"/>
      <w:bookmarkEnd w:id="7"/>
    </w:p>
    <w:sectPr w:rsidR="000978A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35CD"/>
    <w:rsid w:val="00025B45"/>
    <w:rsid w:val="000978AE"/>
    <w:rsid w:val="00A1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8079A-7D7F-4FCD-A628-0459DC4C9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1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1502</Words>
  <Characters>8562</Characters>
  <Application>Microsoft Office Word</Application>
  <DocSecurity>0</DocSecurity>
  <Lines>71</Lines>
  <Paragraphs>20</Paragraphs>
  <ScaleCrop>false</ScaleCrop>
  <Company/>
  <LinksUpToDate>false</LinksUpToDate>
  <CharactersWithSpaces>10044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тенденции формирования, распределения и использования трудовых ресурсов в регионах страны</dc:title>
  <dc:subject/>
  <dc:creator>admin</dc:creator>
  <cp:keywords/>
  <dc:description/>
  <cp:lastModifiedBy>admin</cp:lastModifiedBy>
  <cp:revision>2</cp:revision>
  <dcterms:created xsi:type="dcterms:W3CDTF">2014-01-30T17:06:00Z</dcterms:created>
  <dcterms:modified xsi:type="dcterms:W3CDTF">2014-01-30T17:06:00Z</dcterms:modified>
</cp:coreProperties>
</file>