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93" w:rsidRPr="003B075B" w:rsidRDefault="003A2693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B075B">
        <w:rPr>
          <w:rFonts w:ascii="Times New Roman" w:hAnsi="Times New Roman"/>
          <w:sz w:val="28"/>
          <w:szCs w:val="32"/>
        </w:rPr>
        <w:t>Содержание</w:t>
      </w:r>
    </w:p>
    <w:p w:rsidR="003B075B" w:rsidRPr="003B075B" w:rsidRDefault="003B075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A2693" w:rsidRPr="003B075B" w:rsidRDefault="003A2693" w:rsidP="003B075B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Введение</w:t>
      </w:r>
    </w:p>
    <w:p w:rsidR="003A2693" w:rsidRPr="003B075B" w:rsidRDefault="003A2693" w:rsidP="003B075B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Часть 1.</w:t>
      </w:r>
      <w:r w:rsidR="003B075B" w:rsidRPr="003B075B">
        <w:rPr>
          <w:rFonts w:ascii="Times New Roman" w:hAnsi="Times New Roman"/>
          <w:sz w:val="28"/>
          <w:szCs w:val="28"/>
        </w:rPr>
        <w:t xml:space="preserve"> </w:t>
      </w:r>
      <w:r w:rsidRPr="003B075B">
        <w:rPr>
          <w:rFonts w:ascii="Times New Roman" w:hAnsi="Times New Roman"/>
          <w:sz w:val="28"/>
          <w:szCs w:val="28"/>
        </w:rPr>
        <w:t>Основы бухгалтерского учета</w:t>
      </w:r>
    </w:p>
    <w:p w:rsidR="003A2693" w:rsidRPr="003B075B" w:rsidRDefault="003A2693" w:rsidP="003B075B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Часть 2.</w:t>
      </w:r>
      <w:r w:rsidR="003B075B" w:rsidRPr="003B075B">
        <w:rPr>
          <w:rFonts w:ascii="Times New Roman" w:hAnsi="Times New Roman"/>
          <w:sz w:val="28"/>
          <w:szCs w:val="28"/>
        </w:rPr>
        <w:t xml:space="preserve"> </w:t>
      </w:r>
      <w:r w:rsidRPr="003B075B">
        <w:rPr>
          <w:rFonts w:ascii="Times New Roman" w:hAnsi="Times New Roman"/>
          <w:sz w:val="28"/>
          <w:szCs w:val="28"/>
        </w:rPr>
        <w:t>Основы бухгалтерского финансового учета</w:t>
      </w:r>
    </w:p>
    <w:p w:rsidR="003A2693" w:rsidRPr="003B075B" w:rsidRDefault="003A2693" w:rsidP="003B075B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3A2693" w:rsidRPr="003B075B" w:rsidRDefault="003A2693" w:rsidP="003B075B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Приложение</w:t>
      </w:r>
    </w:p>
    <w:p w:rsidR="003A2693" w:rsidRPr="003B075B" w:rsidRDefault="003A2693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260" w:rsidRPr="003B075B" w:rsidRDefault="003B075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B075B">
        <w:rPr>
          <w:rFonts w:ascii="Times New Roman" w:hAnsi="Times New Roman"/>
          <w:sz w:val="28"/>
          <w:szCs w:val="28"/>
        </w:rPr>
        <w:br w:type="page"/>
      </w:r>
      <w:r w:rsidRPr="003B075B">
        <w:rPr>
          <w:rFonts w:ascii="Times New Roman" w:hAnsi="Times New Roman"/>
          <w:sz w:val="28"/>
          <w:szCs w:val="32"/>
        </w:rPr>
        <w:t>Введение</w:t>
      </w:r>
    </w:p>
    <w:p w:rsidR="003B075B" w:rsidRPr="003B075B" w:rsidRDefault="003B075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04767" w:rsidRPr="003B075B" w:rsidRDefault="00504767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Курсовая работа посвящена основным вопросам бухгалтерского учета. В основе работы лежит бухгалтерская отчетность условной организации, взаимодействующей в процессе производственно-финансовой деятельности с организациями различных организационно-правовых форм собственности.</w:t>
      </w:r>
    </w:p>
    <w:p w:rsidR="00504767" w:rsidRPr="003B075B" w:rsidRDefault="00504767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Работа состоит из двух частей.</w:t>
      </w:r>
    </w:p>
    <w:p w:rsidR="00504767" w:rsidRPr="003B075B" w:rsidRDefault="00504767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Первая часть работы рассматривает вопросы теоретических основ бухгалтерского учета.</w:t>
      </w:r>
    </w:p>
    <w:p w:rsidR="00504767" w:rsidRPr="003B075B" w:rsidRDefault="00504767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Вторая часть работы посвящена материалам бухгалтерского финансового учета.</w:t>
      </w:r>
    </w:p>
    <w:p w:rsidR="00504767" w:rsidRPr="003B075B" w:rsidRDefault="00504767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767" w:rsidRPr="003B075B" w:rsidRDefault="003B075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B075B">
        <w:rPr>
          <w:rFonts w:ascii="Times New Roman" w:hAnsi="Times New Roman"/>
          <w:sz w:val="28"/>
          <w:szCs w:val="32"/>
        </w:rPr>
        <w:br w:type="page"/>
      </w:r>
      <w:r w:rsidR="00504767" w:rsidRPr="003B075B">
        <w:rPr>
          <w:rFonts w:ascii="Times New Roman" w:hAnsi="Times New Roman"/>
          <w:sz w:val="28"/>
          <w:szCs w:val="32"/>
        </w:rPr>
        <w:t>Часть 1. Основы бухгалтер</w:t>
      </w:r>
      <w:r w:rsidRPr="003B075B">
        <w:rPr>
          <w:rFonts w:ascii="Times New Roman" w:hAnsi="Times New Roman"/>
          <w:sz w:val="28"/>
          <w:szCs w:val="32"/>
        </w:rPr>
        <w:t>ского учета</w:t>
      </w:r>
    </w:p>
    <w:p w:rsidR="003B075B" w:rsidRPr="003B075B" w:rsidRDefault="003B075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04767" w:rsidRPr="003B075B" w:rsidRDefault="00504767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Бухгалтерский учет – это упорядоченная система сбора, регистрации и обобщения информации в денежном выражении</w:t>
      </w:r>
      <w:r w:rsidR="00A44A26" w:rsidRPr="003B075B">
        <w:rPr>
          <w:rFonts w:ascii="Times New Roman" w:hAnsi="Times New Roman"/>
          <w:sz w:val="28"/>
          <w:szCs w:val="28"/>
        </w:rPr>
        <w:t xml:space="preserve"> об имуществе, обязательствах организации и их движении путем сплошного, непрерывного и документального учета всех хозяйственных операций. Хозяйственной операцией называется каждый совершившийся факт хозяйственной деятельности предприятия, оформленный документом.</w:t>
      </w:r>
    </w:p>
    <w:p w:rsidR="00A44A26" w:rsidRPr="003B075B" w:rsidRDefault="00A44A26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Основные задачи бухгалтерского учета состоят в следующем:</w:t>
      </w:r>
    </w:p>
    <w:p w:rsidR="00A44A26" w:rsidRPr="003B075B" w:rsidRDefault="00A44A26" w:rsidP="003B075B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Формирование полной и достоверной информации о деятельности предприятия и его имуществе для предоставления внешним и внутренним пользователям бухгалтерской отчетности;</w:t>
      </w:r>
    </w:p>
    <w:p w:rsidR="00A44A26" w:rsidRPr="003B075B" w:rsidRDefault="00A44A26" w:rsidP="003B075B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Обеспечение внутренних и внешних пользователей для контроля за:</w:t>
      </w:r>
    </w:p>
    <w:p w:rsidR="00A44A26" w:rsidRPr="003B075B" w:rsidRDefault="00A44A26" w:rsidP="003B075B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соблюдением действующего законодательства при выполнении организации хозяйственных операций;</w:t>
      </w:r>
    </w:p>
    <w:p w:rsidR="00A44A26" w:rsidRPr="003B075B" w:rsidRDefault="00A44A26" w:rsidP="003B075B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целесообразность произведенных операций;</w:t>
      </w:r>
    </w:p>
    <w:p w:rsidR="00A44A26" w:rsidRPr="003B075B" w:rsidRDefault="00A44A26" w:rsidP="003B075B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наличием и движением имущества и обязательств;</w:t>
      </w:r>
    </w:p>
    <w:p w:rsidR="00A44A26" w:rsidRPr="003B075B" w:rsidRDefault="00A44A26" w:rsidP="003B075B">
      <w:pPr>
        <w:pStyle w:val="a3"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использованием материальных, трудовых и финансовых ресурсов в соответствии с утвержденными нормами, нормативами и сметами;</w:t>
      </w:r>
    </w:p>
    <w:p w:rsidR="00A44A26" w:rsidRPr="003B075B" w:rsidRDefault="00A44A26" w:rsidP="003B075B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устойчивости.</w:t>
      </w:r>
    </w:p>
    <w:p w:rsidR="00A44A26" w:rsidRPr="003B075B" w:rsidRDefault="00A44A26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В настоящее время все предприятия независимо от их организационно-правовой формы, вида деятельности и принадлежности ведут бухгалтерский учет в соответствии с действующим законодательством.</w:t>
      </w:r>
    </w:p>
    <w:p w:rsidR="00A44A26" w:rsidRPr="003B075B" w:rsidRDefault="000343D6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Объекты бухгалтерского учета классифицируются по трем признакам:</w:t>
      </w:r>
    </w:p>
    <w:p w:rsidR="000343D6" w:rsidRPr="003B075B" w:rsidRDefault="000343D6" w:rsidP="003B075B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по видам и размещению;</w:t>
      </w:r>
    </w:p>
    <w:p w:rsidR="000343D6" w:rsidRPr="003B075B" w:rsidRDefault="000343D6" w:rsidP="003B075B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по источникам образования и назначению;</w:t>
      </w:r>
    </w:p>
    <w:p w:rsidR="000343D6" w:rsidRPr="003B075B" w:rsidRDefault="000343D6" w:rsidP="003B075B">
      <w:pPr>
        <w:pStyle w:val="a3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по хозяйственным процессам.</w:t>
      </w:r>
    </w:p>
    <w:p w:rsidR="000343D6" w:rsidRPr="003B075B" w:rsidRDefault="000343D6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По видам и размещению хозяйственные средства предприятия делятся на внеоборотные активы и оборотные активы. К внеоборотным активам относятся основные средства, нематериальные активы, капитальные вложения, долгосрочные финансовые вложения. К</w:t>
      </w:r>
      <w:r w:rsidR="003B075B" w:rsidRPr="003B075B">
        <w:rPr>
          <w:rFonts w:ascii="Times New Roman" w:hAnsi="Times New Roman"/>
          <w:sz w:val="28"/>
          <w:szCs w:val="28"/>
        </w:rPr>
        <w:t xml:space="preserve"> </w:t>
      </w:r>
      <w:r w:rsidRPr="003B075B">
        <w:rPr>
          <w:rFonts w:ascii="Times New Roman" w:hAnsi="Times New Roman"/>
          <w:sz w:val="28"/>
          <w:szCs w:val="28"/>
        </w:rPr>
        <w:t>оборотным активам относятся материально-производственные запасы, производственные запасы, незавершенное строительство, полуфабрикаты, денежные средства в кассе и на счетах в банке, денежные документы, товары отгруженные, средства в расчетах.</w:t>
      </w:r>
    </w:p>
    <w:p w:rsidR="006A4348" w:rsidRPr="003B075B" w:rsidRDefault="006A4348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 xml:space="preserve">Каждому виду имущества (хозяйственных средств) соответствует один или несколько источников образования и, наоборот, за счет определенного источника образуется один или несколько видов хозяйственных средств организации. </w:t>
      </w:r>
      <w:r w:rsidR="00955A3B" w:rsidRPr="003B075B">
        <w:rPr>
          <w:rFonts w:ascii="Times New Roman" w:hAnsi="Times New Roman"/>
          <w:sz w:val="28"/>
          <w:szCs w:val="28"/>
        </w:rPr>
        <w:t>Следовательно,</w:t>
      </w:r>
      <w:r w:rsidRPr="003B075B">
        <w:rPr>
          <w:rFonts w:ascii="Times New Roman" w:hAnsi="Times New Roman"/>
          <w:sz w:val="28"/>
          <w:szCs w:val="28"/>
        </w:rPr>
        <w:t xml:space="preserve"> общая сумма всех хозяйственных средств организации обязательно должна быть равна общей сумме источников их образования. Такое равенство находит отражение в бухгалтерском балансе. Бухгалтерский баланс – это способ обобщенного отражения и экономической группировки в денежной оценке имущества и обязательств организации на определенную дату.</w:t>
      </w:r>
    </w:p>
    <w:p w:rsidR="006A4348" w:rsidRPr="003B075B" w:rsidRDefault="006A4348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Особенность бухгалтерского баланса состоит в том, что итоги актива и пассива на определенную дату обязательно должны быть равны. Это равенство вытекает из того, что в активе и пассиве показывается одна масса средств, но сгруппированная по разным признакам: в активе – по видам и размещению, а в пассиве – по источникам образования и назначению.</w:t>
      </w:r>
    </w:p>
    <w:p w:rsidR="006A4348" w:rsidRPr="003B075B" w:rsidRDefault="006A4348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На основании исходных данных (таблица 1, см. приложение 1) осуществим группировку имущества условного предприятия по видам и размещению и по исто</w:t>
      </w:r>
      <w:r w:rsidR="00BB04E3" w:rsidRPr="003B075B">
        <w:rPr>
          <w:rFonts w:ascii="Times New Roman" w:hAnsi="Times New Roman"/>
          <w:sz w:val="28"/>
          <w:szCs w:val="28"/>
        </w:rPr>
        <w:t>чникам образования и назначению</w:t>
      </w:r>
      <w:r w:rsidRPr="003B075B">
        <w:rPr>
          <w:rFonts w:ascii="Times New Roman" w:hAnsi="Times New Roman"/>
          <w:sz w:val="28"/>
          <w:szCs w:val="28"/>
        </w:rPr>
        <w:t xml:space="preserve"> (таблица 2, см. приложение)</w:t>
      </w:r>
      <w:r w:rsidR="00BB04E3" w:rsidRPr="003B075B">
        <w:rPr>
          <w:rFonts w:ascii="Times New Roman" w:hAnsi="Times New Roman"/>
          <w:sz w:val="28"/>
          <w:szCs w:val="28"/>
        </w:rPr>
        <w:t>.</w:t>
      </w:r>
    </w:p>
    <w:p w:rsidR="00BB04E3" w:rsidRPr="003B075B" w:rsidRDefault="00BB04E3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Использую данные таблицы 2, составим баланс предприятия по упрощенной форме (таблица 3, см. приложение).</w:t>
      </w:r>
    </w:p>
    <w:p w:rsidR="00BB04E3" w:rsidRPr="003B075B" w:rsidRDefault="00BB04E3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4E3" w:rsidRPr="003B075B" w:rsidRDefault="003B075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BB04E3" w:rsidRPr="003B075B">
        <w:rPr>
          <w:rFonts w:ascii="Times New Roman" w:hAnsi="Times New Roman"/>
          <w:sz w:val="28"/>
          <w:szCs w:val="32"/>
        </w:rPr>
        <w:t>Часть 2. Основы бухгалтерского финансового учета</w:t>
      </w:r>
    </w:p>
    <w:p w:rsidR="003B075B" w:rsidRPr="003B075B" w:rsidRDefault="003B075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B04E3" w:rsidRPr="003B075B" w:rsidRDefault="00BB04E3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Для текущего учета хозяйственных средств организации, источников их образования и хозяйственных процессов применяют бухгалтерские счета. Счет открывается на каждый объект учета.</w:t>
      </w:r>
    </w:p>
    <w:p w:rsidR="003B075B" w:rsidRPr="003B075B" w:rsidRDefault="00BB04E3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Все счета по отношению к балансу делятся на активные, пассивные и активно-пассивные. Активные счета предназначены для учета имущества (хозяйственных средств) предприятия. Для учета источников образования применяются пассивные счета.</w:t>
      </w:r>
    </w:p>
    <w:p w:rsidR="003B075B" w:rsidRPr="003B075B" w:rsidRDefault="00BB04E3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Некоторые счета имеют смешанный характер, то есть сочетают в себе признаки активных и пассивных счетов. Эти счета применяются для расчетов организации с другими юридическими и физическими лицами.</w:t>
      </w:r>
    </w:p>
    <w:p w:rsidR="00BB04E3" w:rsidRPr="003B075B" w:rsidRDefault="00BB04E3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Записи по бухгалтерским счетам производят методом двойной записи, то есть каждую хозяйственную операцию записывают не менее чем по двум счетам в одинаковой сумме, в одном счете по дебету, в другом – по кредиту.</w:t>
      </w:r>
    </w:p>
    <w:p w:rsidR="003B075B" w:rsidRPr="003B075B" w:rsidRDefault="00461EE4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Взаимная связь между счетами называется корреспонденцией счетов, а счета, между которыми возникает эта связь, называют корреспондирующими.</w:t>
      </w:r>
      <w:r w:rsidR="003B075B" w:rsidRPr="003B075B">
        <w:rPr>
          <w:rFonts w:ascii="Times New Roman" w:hAnsi="Times New Roman"/>
          <w:sz w:val="28"/>
          <w:szCs w:val="28"/>
        </w:rPr>
        <w:t xml:space="preserve"> </w:t>
      </w:r>
      <w:r w:rsidRPr="003B075B">
        <w:rPr>
          <w:rFonts w:ascii="Times New Roman" w:hAnsi="Times New Roman"/>
          <w:sz w:val="28"/>
          <w:szCs w:val="28"/>
        </w:rPr>
        <w:t>По способу обобщения и группировки учетных данных бухгалтерские счета делятся на</w:t>
      </w:r>
      <w:r w:rsidR="003B075B" w:rsidRPr="003B075B">
        <w:rPr>
          <w:rFonts w:ascii="Times New Roman" w:hAnsi="Times New Roman"/>
          <w:sz w:val="28"/>
          <w:szCs w:val="28"/>
        </w:rPr>
        <w:t xml:space="preserve"> </w:t>
      </w:r>
      <w:r w:rsidRPr="003B075B">
        <w:rPr>
          <w:rFonts w:ascii="Times New Roman" w:hAnsi="Times New Roman"/>
          <w:sz w:val="28"/>
          <w:szCs w:val="28"/>
        </w:rPr>
        <w:t>синтетические и аналитические. Хозяйственные операции, записанные в синтетическом счете, обязательно отражаются на соответствующих аналитических счетах. Начальный и конечный остаток синтетического счета должны быть равны суммам соответствующих остатков его аналитических счетов.</w:t>
      </w:r>
      <w:r w:rsidR="003B075B" w:rsidRPr="003B075B">
        <w:rPr>
          <w:rFonts w:ascii="Times New Roman" w:hAnsi="Times New Roman"/>
          <w:sz w:val="28"/>
          <w:szCs w:val="28"/>
        </w:rPr>
        <w:t xml:space="preserve"> </w:t>
      </w:r>
      <w:r w:rsidRPr="003B075B">
        <w:rPr>
          <w:rFonts w:ascii="Times New Roman" w:hAnsi="Times New Roman"/>
          <w:sz w:val="28"/>
          <w:szCs w:val="28"/>
        </w:rPr>
        <w:t>Сверка данных синтетического и аналитического учета производится путем составления оборотных ведомостей по каждому синтетическому счету, в развитии которого ведутся аналитические счета.</w:t>
      </w:r>
      <w:r w:rsidR="003B075B" w:rsidRPr="003B075B">
        <w:rPr>
          <w:rFonts w:ascii="Times New Roman" w:hAnsi="Times New Roman"/>
          <w:sz w:val="28"/>
          <w:szCs w:val="28"/>
        </w:rPr>
        <w:t xml:space="preserve"> </w:t>
      </w:r>
      <w:r w:rsidR="00B11943" w:rsidRPr="003B075B">
        <w:rPr>
          <w:rFonts w:ascii="Times New Roman" w:hAnsi="Times New Roman"/>
          <w:sz w:val="28"/>
          <w:szCs w:val="28"/>
        </w:rPr>
        <w:t>Пример журнала хозяйственных операций представлен в таблице 4 (см. приложение). На его основании составлена оборотная ведомость по синтетическим счетам (таблица 5, см. приложение).</w:t>
      </w:r>
      <w:r w:rsidR="003B075B" w:rsidRPr="003B075B">
        <w:rPr>
          <w:rFonts w:ascii="Times New Roman" w:hAnsi="Times New Roman"/>
          <w:sz w:val="28"/>
          <w:szCs w:val="28"/>
        </w:rPr>
        <w:t xml:space="preserve"> </w:t>
      </w:r>
      <w:r w:rsidR="00B11943" w:rsidRPr="003B075B">
        <w:rPr>
          <w:rFonts w:ascii="Times New Roman" w:hAnsi="Times New Roman"/>
          <w:sz w:val="28"/>
          <w:szCs w:val="28"/>
        </w:rPr>
        <w:t>На основании данных оборотной ведомости заполнен бухгалтерский баланс на конец отчетного периода.</w:t>
      </w:r>
    </w:p>
    <w:p w:rsidR="00B11943" w:rsidRPr="003B075B" w:rsidRDefault="003B075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B075B">
        <w:rPr>
          <w:rFonts w:ascii="Times New Roman" w:hAnsi="Times New Roman"/>
          <w:sz w:val="28"/>
          <w:szCs w:val="28"/>
        </w:rPr>
        <w:br w:type="page"/>
      </w:r>
      <w:r w:rsidR="00B11943" w:rsidRPr="003B075B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3B075B" w:rsidRPr="003B075B" w:rsidRDefault="003B075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1943" w:rsidRPr="003B075B" w:rsidRDefault="00B11943" w:rsidP="003B075B">
      <w:pPr>
        <w:pStyle w:val="a3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бухгалтерский учет: Учебник</w:t>
      </w:r>
      <w:r w:rsidR="009A06B5" w:rsidRPr="003B075B">
        <w:rPr>
          <w:rFonts w:ascii="Times New Roman" w:hAnsi="Times New Roman"/>
          <w:sz w:val="28"/>
          <w:szCs w:val="28"/>
        </w:rPr>
        <w:t xml:space="preserve"> / П.С. Безруких, Н.П. Кондраков, В.Ф. Палий и др.; Под ред. П.С. Безруких. – М.: Бухгалтерский учет, 2001.</w:t>
      </w:r>
    </w:p>
    <w:p w:rsidR="009A06B5" w:rsidRPr="003B075B" w:rsidRDefault="009A06B5" w:rsidP="003B075B">
      <w:pPr>
        <w:pStyle w:val="a3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Кирьянова З.В. Теория бухгалтерского учета: Учебник. – М.: Финансы и статистика, 2004.</w:t>
      </w:r>
    </w:p>
    <w:p w:rsidR="009A06B5" w:rsidRPr="003B075B" w:rsidRDefault="009A06B5" w:rsidP="003B075B">
      <w:pPr>
        <w:pStyle w:val="a3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Козлова Е.П. и др. Бухгалтерский учет. – М.: Финансы и статистика, 2004.</w:t>
      </w:r>
    </w:p>
    <w:p w:rsidR="009A06B5" w:rsidRPr="003B075B" w:rsidRDefault="009A06B5" w:rsidP="003B075B">
      <w:pPr>
        <w:pStyle w:val="a3"/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Кондраков Н.П. Бухгалтерский учет. Уч. Пос. – М.: ИНФРА – М, 2004.</w:t>
      </w:r>
    </w:p>
    <w:p w:rsidR="00955A3B" w:rsidRPr="003B075B" w:rsidRDefault="00955A3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767" w:rsidRPr="003B075B" w:rsidRDefault="003B075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br w:type="page"/>
      </w:r>
      <w:r w:rsidR="009A06B5" w:rsidRPr="003B075B">
        <w:rPr>
          <w:rFonts w:ascii="Times New Roman" w:hAnsi="Times New Roman"/>
          <w:sz w:val="28"/>
          <w:szCs w:val="28"/>
        </w:rPr>
        <w:t>Приложение</w:t>
      </w:r>
    </w:p>
    <w:p w:rsidR="003B075B" w:rsidRPr="003B075B" w:rsidRDefault="003B075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6B5" w:rsidRPr="003B075B" w:rsidRDefault="009A06B5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Таблица 1.</w:t>
      </w:r>
      <w:r w:rsidR="003B075B" w:rsidRPr="003B075B">
        <w:rPr>
          <w:rFonts w:ascii="Times New Roman" w:hAnsi="Times New Roman"/>
          <w:sz w:val="28"/>
          <w:szCs w:val="28"/>
        </w:rPr>
        <w:t xml:space="preserve"> </w:t>
      </w:r>
      <w:r w:rsidRPr="003B075B">
        <w:rPr>
          <w:rFonts w:ascii="Times New Roman" w:hAnsi="Times New Roman"/>
          <w:sz w:val="28"/>
          <w:szCs w:val="28"/>
        </w:rPr>
        <w:t>Наличие имущества и обязательств организации на начало отчетного периода, тыс. руб.</w:t>
      </w:r>
    </w:p>
    <w:tbl>
      <w:tblPr>
        <w:tblStyle w:val="a8"/>
        <w:tblW w:w="8871" w:type="dxa"/>
        <w:tblLook w:val="0400" w:firstRow="0" w:lastRow="0" w:firstColumn="0" w:lastColumn="0" w:noHBand="0" w:noVBand="1"/>
      </w:tblPr>
      <w:tblGrid>
        <w:gridCol w:w="714"/>
        <w:gridCol w:w="7191"/>
        <w:gridCol w:w="966"/>
      </w:tblGrid>
      <w:tr w:rsidR="00CD2E83" w:rsidRPr="003B075B" w:rsidTr="003B075B">
        <w:tc>
          <w:tcPr>
            <w:tcW w:w="0" w:type="auto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имущества и обязательств</w:t>
            </w:r>
          </w:p>
        </w:tc>
        <w:tc>
          <w:tcPr>
            <w:tcW w:w="0" w:type="auto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Здание кладовой для хранения продукции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6510,0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бюджету по налогам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средства на расчетном счете в банке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Запасные части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421,0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по долгосрочному займу, полученному от другой организации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Топливо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поставщику за полученное топливо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Инструменты сроком полезного использования менее 12 месяцев, находящиеся в кладовой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610,0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Сталь листовая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Здание подсобного цеха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11000,0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 разные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556,0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подотчетных лиц по выданным им авансам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персоналу по оплате труда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126,0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Автопогрузчики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1070,0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средства в кассе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Резервы предстоящих расходов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Грузовые автомобили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23000,0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прочим кредиторам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Акции других организаций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фондам социального страхования и обеспечения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Станки токарные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11200,0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Почтовые марки, оплаченные авиа </w:t>
            </w:r>
            <w:r w:rsidR="00506A2B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билеты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Вложения во внеоборотные активы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1165,0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Инвентарь со сроком полезного использования свыше 12 месяцев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8045,0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Облигации со сроком погашения менее 12 месяцев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работников по возмещению недостач основных средств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Спецодежда в кладовой организации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персоналу по задепонированным суммам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Здание автотранспортного цеха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12800,0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Исключительные права на программные продукты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Готовая продукция в кладовой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Вклады в уставный капитал других организаций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Затраты в незавершенное производство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972,0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банку по краткосрочной ссуде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подрядчику за выполненный ремонт здания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8,6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58500,0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Амортизация основных средств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8900,0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Амортизация нематериальных активов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Инвентарь сроком полезного использования сроком менее 12 месяцев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Резервы по сомнительным долгам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покупателей за отгруженную продукцию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будущих периодов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поставщикам за полученные дополнительные запасные части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142,0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заказчика за выполненные для него работы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9,4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9615,0</w:t>
            </w:r>
          </w:p>
        </w:tc>
      </w:tr>
      <w:tr w:rsidR="00CD2E83" w:rsidRPr="003B075B" w:rsidTr="003B075B"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91" w:type="dxa"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noWrap/>
            <w:hideMark/>
          </w:tcPr>
          <w:p w:rsidR="00CD2E83" w:rsidRPr="003B075B" w:rsidRDefault="00CD2E83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156437,0</w:t>
            </w:r>
          </w:p>
        </w:tc>
      </w:tr>
    </w:tbl>
    <w:p w:rsidR="00506A2B" w:rsidRPr="003B075B" w:rsidRDefault="00506A2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A2B" w:rsidRPr="003B075B" w:rsidRDefault="00506A2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B075B">
        <w:rPr>
          <w:rFonts w:ascii="Times New Roman" w:hAnsi="Times New Roman"/>
          <w:sz w:val="28"/>
          <w:szCs w:val="24"/>
        </w:rPr>
        <w:t>Таблица 2. Классификация хозяйственных средств организации и источников их образования, тыс. руб.</w:t>
      </w:r>
    </w:p>
    <w:tbl>
      <w:tblPr>
        <w:tblStyle w:val="a8"/>
        <w:tblW w:w="9356" w:type="dxa"/>
        <w:tblLook w:val="0400" w:firstRow="0" w:lastRow="0" w:firstColumn="0" w:lastColumn="0" w:noHBand="0" w:noVBand="1"/>
      </w:tblPr>
      <w:tblGrid>
        <w:gridCol w:w="4356"/>
        <w:gridCol w:w="866"/>
        <w:gridCol w:w="3268"/>
        <w:gridCol w:w="866"/>
      </w:tblGrid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Имущество (хозяйственные средства)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Сумма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Капитал (источники образования хозяйственных средств)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Сумма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I. Собственные основные средства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I. Собственный капитал и резервы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1. Здания и сооружения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38355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1. Уставный капитал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58500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2. Машины и оборудование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12270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2. Резервный капитал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21,6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3. Транспортные средства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23000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3. Добавочный капитал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650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4. Инструменты и хозяйственный инвентарь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4. резервы по сомнительным долгам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2,8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73679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5. Амортизация основных средств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8900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II. Долгосрочные вложения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6. Амортизация нематериальных активов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9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5. Нематериальные активы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7. Нераспределенная прибыль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9615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6. Вложения во внеоборотные средства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1165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77698,4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7. Долгосрочные финансовые вложения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II. Заемный капитал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1410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8. Долгосрочные кредиты и займы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50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III. Оборотные активы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9. Краткосрочные кредиты и займы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30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8. Сырье и материалы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599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10. Расчеты с персоналом по оплате труда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126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9. Топливо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11. Расчеты по социальному страхованию и обеспечению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11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10. Запасные части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421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12. Расчеты с депонентами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25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11. Инструменты и хозяйственные принадлежности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649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13. Расчеты с бюджетом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4,5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12. Краткосрочные финансовые вложения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14. Расчеты с поставщиками и подрядчиками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158,6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13. Спецодежда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15. Расчеты с разными кредиторами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5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14. Незавершенное производство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972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16. Доходы будущих периодов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50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15. Расходы будущих периодов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17. Резервы предстоящих расходов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60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16. Готовая продукция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520,1</w:t>
            </w: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17. Денежные средства в кассе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18. Денежные документы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19. Денежные средства на </w:t>
            </w:r>
            <w:r w:rsidR="00801D94"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расчетном</w:t>
            </w: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 счету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20. Расчеты с персоналом за форменную одежду, по возмещению материального ущерба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21. Расчеты с покупателями и заказчиками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47,4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22. расчеты с подотчетными лицами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10,8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23. расчеты с разными дебиторами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3129,5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</w:tr>
      <w:tr w:rsidR="00506A2B" w:rsidRPr="003B075B" w:rsidTr="003B075B"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Всего имущества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78218,5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Всего капитала:</w:t>
            </w:r>
          </w:p>
        </w:tc>
        <w:tc>
          <w:tcPr>
            <w:tcW w:w="0" w:type="auto"/>
            <w:hideMark/>
          </w:tcPr>
          <w:p w:rsidR="00506A2B" w:rsidRPr="003B075B" w:rsidRDefault="00506A2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18"/>
                <w:lang w:eastAsia="ru-RU"/>
              </w:rPr>
              <w:t>78218,5</w:t>
            </w:r>
          </w:p>
        </w:tc>
      </w:tr>
    </w:tbl>
    <w:p w:rsidR="00506A2B" w:rsidRPr="003B075B" w:rsidRDefault="00506A2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D94" w:rsidRPr="003B075B" w:rsidRDefault="00801D94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Таблица 3.</w:t>
      </w:r>
      <w:r w:rsidR="003B075B" w:rsidRPr="003B075B">
        <w:rPr>
          <w:rFonts w:ascii="Times New Roman" w:hAnsi="Times New Roman"/>
          <w:sz w:val="28"/>
          <w:szCs w:val="28"/>
        </w:rPr>
        <w:t xml:space="preserve"> </w:t>
      </w:r>
      <w:r w:rsidRPr="003B075B">
        <w:rPr>
          <w:rFonts w:ascii="Times New Roman" w:hAnsi="Times New Roman"/>
          <w:sz w:val="28"/>
          <w:szCs w:val="28"/>
        </w:rPr>
        <w:t>Бухгалтерский баланс условного предприятия, тыс. руб.</w:t>
      </w: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4621"/>
        <w:gridCol w:w="1507"/>
        <w:gridCol w:w="1422"/>
      </w:tblGrid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I. ВНЕОБОРОТНЫЕ АКТИВЫ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64779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64850,8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Незавершенные вложения во внеоборотные активы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1165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Прочие внеоборотные активы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66180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66251,8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Запасы, в том числе: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сырье, материалы и другие аналогичные ценности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1775,7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затраты в незавершенном производстве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готовая продукция и товары для перепродажи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576,5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товары отгруженные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будущих периодов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Краткосрочные финансовые вложения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Дебиторская задолженность, в том числе: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покупатели и заказчики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дебиторы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13,9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средства, в том числе: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касса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30,5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документы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расчетные счета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512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валютные счета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3126,7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3119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69306,7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69370,8</w:t>
            </w:r>
          </w:p>
        </w:tc>
      </w:tr>
    </w:tbl>
    <w:p w:rsidR="00506A2B" w:rsidRPr="003B075B" w:rsidRDefault="00506A2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5067"/>
        <w:gridCol w:w="1470"/>
        <w:gridCol w:w="1385"/>
      </w:tblGrid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на конец года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III. КАПИТАЛ И РЕЗЕРВЫ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Уставной капитал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58500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58500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капитал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Нераспределенная прибыль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9615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9615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Непокрытый убыток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ИТОГО по разделу III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68786,6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68786,6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Займы и кредиты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V. Краткосрочные обязательства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Займы и кредиты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Кредиторская задолженность, в том числе: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поставщики и подрядчики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144,4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задолженности перед персоналом организации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перед фондами социального страхования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перед бюджетом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43,5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прочие кредиторы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Доходы будущих периодов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Резервы предстоящих расходов и платежей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60,6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534,2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69306,7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69370,8</w:t>
            </w:r>
          </w:p>
        </w:tc>
      </w:tr>
    </w:tbl>
    <w:p w:rsidR="00955A3B" w:rsidRPr="003B075B" w:rsidRDefault="00955A3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A3B" w:rsidRPr="003B075B" w:rsidRDefault="003F51F1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55A3B" w:rsidRPr="003B075B">
        <w:rPr>
          <w:rFonts w:ascii="Times New Roman" w:hAnsi="Times New Roman"/>
          <w:sz w:val="28"/>
          <w:szCs w:val="28"/>
        </w:rPr>
        <w:t>Таблица 4. Хозяйственные операции предприятия за месяц, тыс. руб.</w:t>
      </w:r>
    </w:p>
    <w:tbl>
      <w:tblPr>
        <w:tblStyle w:val="a8"/>
        <w:tblW w:w="9356" w:type="dxa"/>
        <w:tblLook w:val="0400" w:firstRow="0" w:lastRow="0" w:firstColumn="0" w:lastColumn="0" w:noHBand="0" w:noVBand="1"/>
      </w:tblPr>
      <w:tblGrid>
        <w:gridCol w:w="727"/>
        <w:gridCol w:w="5482"/>
        <w:gridCol w:w="792"/>
        <w:gridCol w:w="1090"/>
        <w:gridCol w:w="1265"/>
      </w:tblGrid>
      <w:tr w:rsidR="00955A3B" w:rsidRPr="003B075B" w:rsidTr="003B075B"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Операция</w:t>
            </w:r>
          </w:p>
        </w:tc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gridSpan w:val="2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Корреспонденция счетов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955A3B" w:rsidRPr="003B075B" w:rsidTr="003B075B"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Акцептован счет поставщика за приобретенный объект основных средств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 объекта по счету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08.4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расходы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08.4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Поступили от поставщика и оприходованы по учетной цене материалы (в качестве учетной цены принимается цена поставщика)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Приняты на учет расходы по доставке материалов, указанные в счете поставщика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Приняты на учет наценки, указанные в счете поставщика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Принят на учет налог на добавленную стоимость, указанный в счете поставщика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Выдан аванс подотчетному лицу для приобретения почтовых марок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71.1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На основании авансового отчета оприходованы в кассу организации почтовые марки, приобретенные подотчетным лицом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50.3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71.1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Подотчетное лицо внесло в кассу неиспользованные остатки ранее выданного аванса. 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71.1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Оплачены счета поставщиков за поступившие ранее материалы, топливо, запасные части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Списывается для возмещения бюджетом НДС по оприходованным и оплаченным материалам, топливу, запасным частям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68.2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19.3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Введен в состав основных средств приобретенный за плату объект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01.1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08.4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принят на учет по 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рыночной</w:t>
            </w: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стоимости объект основных средств, обнаруженный при инвентаризации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01.1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91.1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Начислен налог на прибыль со стоимости объекта основных средств, обнаруженного при инвентаризации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99.2.1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68.4.2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Оплачены счета поставщиков за поступившие в отчетном месяце материалы и объект основных средств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308,4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Списывается для 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возмещения</w:t>
            </w: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бюджетом налог на добавленную стоимость по оплаченным материалам и объекту основных средств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68.2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19.3</w:t>
            </w:r>
          </w:p>
        </w:tc>
      </w:tr>
      <w:tr w:rsidR="00955A3B" w:rsidRPr="003B075B" w:rsidTr="003B075B"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Начислена амортизация со стоимости основных средств: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используемых для изготовления продукции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02.1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общецехового назначения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02.1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общехозяйственного назначения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02.1</w:t>
            </w:r>
          </w:p>
        </w:tc>
      </w:tr>
      <w:tr w:rsidR="00955A3B" w:rsidRPr="003B075B" w:rsidTr="003B075B"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Списывается стоимость материалов, израсходованных на: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изготовление 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общепроизводственные нужды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общехозяйственные нужды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упаковку готовой продукции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10.1</w:t>
            </w:r>
          </w:p>
        </w:tc>
      </w:tr>
      <w:tr w:rsidR="00955A3B" w:rsidRPr="003B075B" w:rsidTr="003B075B"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Начислена оплата труда: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рабочим основного производства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персоналу цехов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работникам аппарата управления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955A3B" w:rsidRPr="003B075B" w:rsidTr="003B075B"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Произведены отчисления на социальное страхование и обеспечение сумм оплаты труда, начисленной: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работникам основного производства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69.1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персоналу цехов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69.1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работникам аппарата управления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69.1</w:t>
            </w:r>
          </w:p>
        </w:tc>
      </w:tr>
      <w:tr w:rsidR="00955A3B" w:rsidRPr="003B075B" w:rsidTr="003B075B"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Обнаружена недостача объекта основных средств. Списывается: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первоначальная стоимость объекта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01.2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01.1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начисленная амортизация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02.1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01.2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остаточная стоимость 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01.2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 на добавленную 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</w:t>
            </w: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, приходящийся на остаточную стоимость недостающего объекта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68.2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19.1</w:t>
            </w:r>
          </w:p>
        </w:tc>
      </w:tr>
      <w:tr w:rsidR="00955A3B" w:rsidRPr="003B075B" w:rsidTr="003B075B"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Выставлен начет виновнику на первоначальную стоимость недостающего объекта основных средств: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фактическая сумма недостачи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73.2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разница между суммой выставленного начета и фактической суммой недостачи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98.3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Виновник недостачи внес в 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кассу</w:t>
            </w: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1/6 часть суммы, выставленного нечета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73.2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Одновременно списывается на финансовые результаты доля разницы между суммой выставленного начета и фактической суммой недостачи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91.2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98.3</w:t>
            </w:r>
          </w:p>
        </w:tc>
      </w:tr>
      <w:tr w:rsidR="00955A3B" w:rsidRPr="003B075B" w:rsidTr="003B075B"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Списываются отклонения, относящиеся к стоимости материальных ценностей, израсходованных на: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изготовление 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общепроизводственные нужды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общехозяйственные нужды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16.1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упаковку готовой продукции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16.1</w:t>
            </w:r>
          </w:p>
        </w:tc>
      </w:tr>
      <w:tr w:rsidR="00955A3B" w:rsidRPr="003B075B" w:rsidTr="003B075B">
        <w:tc>
          <w:tcPr>
            <w:tcW w:w="0" w:type="auto"/>
            <w:vMerge w:val="restart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По окончании месяца распределяются и списываются на себестоимость продукции: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общепроизводственные расходы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Выпущена из производства и оприходована на склад по фактической производственной себестоимости готовая продукция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Начислена амортизация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по стоимости здания склада готовой продукции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02.1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Начислена оплата труда за упаковку и погрузку готовой продукции, 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отгруженной</w:t>
            </w: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покупателям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Произведены отчисления в пользу органов социального страхования и пенсионного обеспечения с сумм оплаты труда, начисленной за упаковку и погрузку готовой продукции.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69.1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предъявлен счет покупателям за отгруженную продукцию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90.1.2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Приняты на учет расходы по доставке готовой продукции на станцию назначения, оплаченные подотчетным лицом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71.1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По окончании месяца</w:t>
            </w:r>
            <w:r w:rsidR="003B075B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списывается фактическая производственная себестоимость готовой продукции, отгруженной покупателям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90.2.2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По окончании месяца списываются расходы по продаже готовой продукции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90.2.2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44.2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Поступили платежи от покупателей за проданную им продукцию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Из сумм начисленной оплаты труда удержаны налоги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68.1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Получены с расчетного счета денежные средства для выплаты заработной платы и задепонированных ранее сумм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50.1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Выплачена заработная плата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По окончании месяца определяется и списывается финансовый результат от продажи готовой продукции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90.9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99.1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По окончании месяца определяется и списывается сальдо прочих доходов и расходов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91.9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99.1</w:t>
            </w:r>
          </w:p>
        </w:tc>
      </w:tr>
      <w:tr w:rsidR="00955A3B" w:rsidRPr="003B075B" w:rsidTr="003B075B"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4244,5</w:t>
            </w: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55A3B" w:rsidRPr="003B075B" w:rsidRDefault="00955A3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A3B" w:rsidRPr="003B075B" w:rsidRDefault="00955A3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5B">
        <w:rPr>
          <w:rFonts w:ascii="Times New Roman" w:hAnsi="Times New Roman"/>
          <w:sz w:val="28"/>
          <w:szCs w:val="28"/>
        </w:rPr>
        <w:t>Таблица 5. Оборотная ведомость по синтетическим счетам за отчетный период, тыс. руб.</w:t>
      </w:r>
    </w:p>
    <w:tbl>
      <w:tblPr>
        <w:tblStyle w:val="a8"/>
        <w:tblW w:w="9356" w:type="dxa"/>
        <w:tblLook w:val="0400" w:firstRow="0" w:lastRow="0" w:firstColumn="0" w:lastColumn="0" w:noHBand="0" w:noVBand="1"/>
      </w:tblPr>
      <w:tblGrid>
        <w:gridCol w:w="3817"/>
        <w:gridCol w:w="978"/>
        <w:gridCol w:w="978"/>
        <w:gridCol w:w="793"/>
        <w:gridCol w:w="864"/>
        <w:gridCol w:w="963"/>
        <w:gridCol w:w="963"/>
      </w:tblGrid>
      <w:tr w:rsidR="00955A3B" w:rsidRPr="003B075B" w:rsidTr="003B075B">
        <w:tc>
          <w:tcPr>
            <w:tcW w:w="0" w:type="auto"/>
            <w:vMerge w:val="restart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Номер и наименование счета</w:t>
            </w:r>
          </w:p>
        </w:tc>
        <w:tc>
          <w:tcPr>
            <w:tcW w:w="0" w:type="auto"/>
            <w:gridSpan w:val="2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Сальдо на начало месяца</w:t>
            </w:r>
          </w:p>
        </w:tc>
        <w:tc>
          <w:tcPr>
            <w:tcW w:w="0" w:type="auto"/>
            <w:gridSpan w:val="2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Обороты за месяц</w:t>
            </w:r>
          </w:p>
        </w:tc>
        <w:tc>
          <w:tcPr>
            <w:tcW w:w="0" w:type="auto"/>
            <w:gridSpan w:val="2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Сальдо на конец 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955A3B" w:rsidRPr="003B075B" w:rsidTr="003B075B">
        <w:tc>
          <w:tcPr>
            <w:tcW w:w="0" w:type="auto"/>
            <w:vMerge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Дебет 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01. Основные средства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64779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64850,8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01.1 "Основные средства" субсчет "Основные средства в эксплуатации"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64779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64886,8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01.2 "Основные средства" субсчет "Выбытие основных средств"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02 "Амортизация 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основных</w:t>
            </w: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04 "Нематериальные активы"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05 "Амортизация нематериальных активов"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08 "Капитальные вложения"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1775,7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 "Материалы"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 "Отклонение в стоимости материалов"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19 "Налог на добавленную стоимость по приобретенным ценностям"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-3,6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20 "Основное производство"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25 "Общепроизводственные расходы"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26 "Общехозяйственные расходы"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43 "Готовая продукция"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576,5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 "Расходы на продажу"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50.1 "Касса организации"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50.3 "Денежные документы"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 "Расчетные счета"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58 "Финансовые вложения"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 "Расчеты с поставщиками и подрядчиками"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322,6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308,4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144,4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 "Расчеты с покупателями и заказчиками"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63 "Резервы по сомнительным долгам"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66 "Резервы по краткосрочным кредитам и займам"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67 "Расчеты по долгосрочным кредитам и займа"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68 "Расчеты с бюджетом по налогам и сборам"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-43,5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69 "Расчеты по социальному страхованию и обеспечению" 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70 "Расчеты с персонало</w:t>
            </w:r>
            <w:r w:rsidR="003A2693"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оплате труда"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71 "Расчеты с подотчетными лицами"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73.2 "Расчеты по возмещению материального ущерба"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-5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76 "Расчеты с разными дебиторами и кредиторами"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80 "Уставный капитал"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58500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58500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82 "Резервный капитал"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21,6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83 "Добавочный капитал"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650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84 "Нераспределенная прибыль (непокрытый убыток)"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9615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9615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90.1 "Выручка"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625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90.2 "Себестоимость"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538,5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538,5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90.3 "Налог на добавленную стоимость"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90.9 "Прибыль/ убыток от продаж"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91.1 "Прочие доходы"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7,8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91.2 "Прочие расходы"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91.9 "Сальдо прочих доходов и расходов"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94 "Недостачи и потери от порчи ценностей"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97 "Расходы будущих периодов"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98 "Доходы будущих периодов"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99 "Прибыли и убытки"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-91,4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5A3B" w:rsidRPr="003B075B" w:rsidTr="003B075B"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69306,7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69306,7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4244,5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4244,5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69912,2</w:t>
            </w:r>
          </w:p>
        </w:tc>
        <w:tc>
          <w:tcPr>
            <w:tcW w:w="0" w:type="auto"/>
            <w:hideMark/>
          </w:tcPr>
          <w:p w:rsidR="00955A3B" w:rsidRPr="003B075B" w:rsidRDefault="00955A3B" w:rsidP="003B075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075B">
              <w:rPr>
                <w:rFonts w:ascii="Times New Roman" w:hAnsi="Times New Roman"/>
                <w:sz w:val="20"/>
                <w:szCs w:val="20"/>
                <w:lang w:eastAsia="ru-RU"/>
              </w:rPr>
              <w:t>69912,2</w:t>
            </w:r>
          </w:p>
        </w:tc>
      </w:tr>
    </w:tbl>
    <w:p w:rsidR="00506A2B" w:rsidRPr="003B075B" w:rsidRDefault="00506A2B" w:rsidP="003B075B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06A2B" w:rsidRPr="003B075B" w:rsidSect="003B07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45" w:rsidRDefault="006C1545" w:rsidP="00955A3B">
      <w:pPr>
        <w:spacing w:after="0" w:line="240" w:lineRule="auto"/>
      </w:pPr>
      <w:r>
        <w:separator/>
      </w:r>
    </w:p>
  </w:endnote>
  <w:endnote w:type="continuationSeparator" w:id="0">
    <w:p w:rsidR="006C1545" w:rsidRDefault="006C1545" w:rsidP="0095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45" w:rsidRDefault="006C1545" w:rsidP="00955A3B">
      <w:pPr>
        <w:spacing w:after="0" w:line="240" w:lineRule="auto"/>
      </w:pPr>
      <w:r>
        <w:separator/>
      </w:r>
    </w:p>
  </w:footnote>
  <w:footnote w:type="continuationSeparator" w:id="0">
    <w:p w:rsidR="006C1545" w:rsidRDefault="006C1545" w:rsidP="0095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0497"/>
    <w:multiLevelType w:val="hybridMultilevel"/>
    <w:tmpl w:val="6B389F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F4E61"/>
    <w:multiLevelType w:val="hybridMultilevel"/>
    <w:tmpl w:val="33246882"/>
    <w:lvl w:ilvl="0" w:tplc="7338C5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E0F3B7D"/>
    <w:multiLevelType w:val="hybridMultilevel"/>
    <w:tmpl w:val="79B2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32CDD"/>
    <w:multiLevelType w:val="hybridMultilevel"/>
    <w:tmpl w:val="4B987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20F"/>
    <w:rsid w:val="000343D6"/>
    <w:rsid w:val="002C61B1"/>
    <w:rsid w:val="0039420F"/>
    <w:rsid w:val="003A2693"/>
    <w:rsid w:val="003B075B"/>
    <w:rsid w:val="003F51F1"/>
    <w:rsid w:val="00440F37"/>
    <w:rsid w:val="00461EE4"/>
    <w:rsid w:val="00504767"/>
    <w:rsid w:val="00506A2B"/>
    <w:rsid w:val="005F4761"/>
    <w:rsid w:val="006A4348"/>
    <w:rsid w:val="006C1545"/>
    <w:rsid w:val="00714CC7"/>
    <w:rsid w:val="00773260"/>
    <w:rsid w:val="00801D94"/>
    <w:rsid w:val="00955A3B"/>
    <w:rsid w:val="009A06B5"/>
    <w:rsid w:val="00A20B33"/>
    <w:rsid w:val="00A44A26"/>
    <w:rsid w:val="00B11943"/>
    <w:rsid w:val="00BB04E3"/>
    <w:rsid w:val="00C954E6"/>
    <w:rsid w:val="00CD2E83"/>
    <w:rsid w:val="00D20228"/>
    <w:rsid w:val="00F4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3CA860-16BF-4496-B425-8981E759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A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5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55A3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5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55A3B"/>
    <w:rPr>
      <w:rFonts w:cs="Times New Roman"/>
    </w:rPr>
  </w:style>
  <w:style w:type="table" w:styleId="a8">
    <w:name w:val="Table Grid"/>
    <w:basedOn w:val="a1"/>
    <w:uiPriority w:val="59"/>
    <w:rsid w:val="003B075B"/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2997</Words>
  <Characters>17086</Characters>
  <Application>Microsoft Office Word</Application>
  <DocSecurity>0</DocSecurity>
  <Lines>142</Lines>
  <Paragraphs>40</Paragraphs>
  <ScaleCrop>false</ScaleCrop>
  <Company>Grizli777</Company>
  <LinksUpToDate>false</LinksUpToDate>
  <CharactersWithSpaces>20043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2</cp:revision>
  <dcterms:created xsi:type="dcterms:W3CDTF">2014-04-27T22:16:00Z</dcterms:created>
  <dcterms:modified xsi:type="dcterms:W3CDTF">2014-04-27T22:16:00Z</dcterms:modified>
</cp:coreProperties>
</file>