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962" w:rsidRPr="000C4962" w:rsidRDefault="000C4962" w:rsidP="000C4962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</w:rPr>
      </w:pPr>
      <w:r w:rsidRPr="000C4962">
        <w:rPr>
          <w:rFonts w:ascii="Times New Roman" w:hAnsi="Times New Roman"/>
        </w:rPr>
        <w:t>1. Закон и подзаконные акты РФ</w:t>
      </w:r>
    </w:p>
    <w:p w:rsid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Закон и подзаконные нормативные акты - таково подразделение нормативных актов по юридической силе. Практическое значение такого деления заключается в том, что в случае расхождения закона и подзаконного нормативного акта действует закон. В частности, арбитражный суд, установив при рассмотрении дела несоответствие нормативного акта государственного органа, органа местного самоуправления, иного органа закону, в том числе издание его с превышением полномочий, принимает решение в соответствии с законом (ст. 11 АПК).</w:t>
      </w: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В РФ установлена следующая иерархическая система нормативно-правовых актов (в зависимости от их юридической силы):</w:t>
      </w:r>
    </w:p>
    <w:p w:rsidR="000C4962" w:rsidRPr="000C4962" w:rsidRDefault="000C4962" w:rsidP="000C4962">
      <w:pPr>
        <w:pStyle w:val="a1"/>
        <w:numPr>
          <w:ilvl w:val="0"/>
          <w:numId w:val="8"/>
        </w:numPr>
        <w:tabs>
          <w:tab w:val="left" w:pos="70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 xml:space="preserve">Конституция РФ </w:t>
      </w:r>
    </w:p>
    <w:p w:rsidR="000C4962" w:rsidRPr="000C4962" w:rsidRDefault="000C4962" w:rsidP="000C4962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 xml:space="preserve">1. Законы </w:t>
      </w:r>
    </w:p>
    <w:p w:rsidR="000C4962" w:rsidRPr="000C4962" w:rsidRDefault="000C4962" w:rsidP="000C4962">
      <w:pPr>
        <w:pStyle w:val="af2"/>
        <w:numPr>
          <w:ilvl w:val="0"/>
          <w:numId w:val="9"/>
        </w:numPr>
        <w:tabs>
          <w:tab w:val="left" w:pos="127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 xml:space="preserve">Федеральные конституционные законы </w:t>
      </w:r>
    </w:p>
    <w:p w:rsidR="000C4962" w:rsidRPr="000C4962" w:rsidRDefault="000C4962" w:rsidP="000C4962">
      <w:pPr>
        <w:pStyle w:val="af2"/>
        <w:numPr>
          <w:ilvl w:val="0"/>
          <w:numId w:val="9"/>
        </w:numPr>
        <w:tabs>
          <w:tab w:val="left" w:pos="127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 xml:space="preserve">Федеральные законы </w:t>
      </w:r>
    </w:p>
    <w:p w:rsidR="000C4962" w:rsidRPr="000C4962" w:rsidRDefault="000C4962" w:rsidP="000C4962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 xml:space="preserve">2. Подзаконные правовые акты: </w:t>
      </w:r>
    </w:p>
    <w:p w:rsidR="000C4962" w:rsidRPr="000C4962" w:rsidRDefault="000C4962" w:rsidP="000C4962">
      <w:pPr>
        <w:pStyle w:val="af2"/>
        <w:numPr>
          <w:ilvl w:val="2"/>
          <w:numId w:val="10"/>
        </w:numPr>
        <w:tabs>
          <w:tab w:val="left" w:pos="14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Указы президента РФ</w:t>
      </w:r>
    </w:p>
    <w:p w:rsidR="000C4962" w:rsidRPr="000C4962" w:rsidRDefault="000C4962" w:rsidP="000C4962">
      <w:pPr>
        <w:pStyle w:val="af2"/>
        <w:numPr>
          <w:ilvl w:val="2"/>
          <w:numId w:val="10"/>
        </w:numPr>
        <w:tabs>
          <w:tab w:val="left" w:pos="14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 xml:space="preserve">Постановления Правительства РФ, </w:t>
      </w:r>
    </w:p>
    <w:p w:rsidR="000C4962" w:rsidRPr="000C4962" w:rsidRDefault="000C4962" w:rsidP="000C4962">
      <w:pPr>
        <w:pStyle w:val="af2"/>
        <w:numPr>
          <w:ilvl w:val="2"/>
          <w:numId w:val="10"/>
        </w:numPr>
        <w:tabs>
          <w:tab w:val="left" w:pos="14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 xml:space="preserve">Акты федеральных органов исполнительной власти (министерств, федеральных служб и агентств). </w:t>
      </w:r>
    </w:p>
    <w:p w:rsidR="000C4962" w:rsidRPr="000C4962" w:rsidRDefault="000C4962" w:rsidP="000C4962">
      <w:pPr>
        <w:pStyle w:val="af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 xml:space="preserve">3. Локальные нормативно-правовые акты. </w:t>
      </w: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Закон — это обладающий высшей юридической силой нормативный акт, принятый в особом порядке высшим представительным органом государственной власти или непосредственно народом и регулирующий наиболее важные общественные отношения. По юридической силе и предназначению законы делятся на конституционные (закрепляют основы общественного и государственного строя и определяют основные правовые начала всего действующего законодательства) и обыкновенные (принимаются на основе конституционных законов и регулируют различные стороны жизни общества). Среди последних выделяются кодифицированные и текущие. По характеру действия законы подразделяются на постоянные, временные и чрезвычайные.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Действующие законы образуют систему законодательства.</w:t>
      </w:r>
    </w:p>
    <w:p w:rsidR="000C4962" w:rsidRPr="000C4962" w:rsidRDefault="000C4962" w:rsidP="000C4962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Законы принимаются исключительно органами законодательной власти Российской Федерации и ее субъектов (п. 4 ст. 76 Конституции РФ). Другие ветви власти не могут законодательствовать: органы исполнительной власти должны заниматься организацией исполнения законов, а органы судебной власти - разрешать правовые конфликты.</w:t>
      </w:r>
    </w:p>
    <w:p w:rsidR="000C4962" w:rsidRPr="000C4962" w:rsidRDefault="000C4962" w:rsidP="000C4962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Федеральные законы подразделяются на федеральные конституционные законы и другие федеральные законы (ст. 76 Конституции РФ). При этом федеральные конституционные законы обладают большей юридической силой, чем иные федеральные законы.</w:t>
      </w:r>
    </w:p>
    <w:p w:rsidR="000C4962" w:rsidRPr="000C4962" w:rsidRDefault="000C4962" w:rsidP="000C4962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Среди федеральных конституционных законов наиболее высокой юридической силой обладает Конституция РФ (ст. 15 Конституции РФ), в которой содержатся основные нормы жизни общества, в частности нормы о взаимоотношениях личности и государства, об основных правах и свободах личности, о видах и компетенции органов государственной власти. В Конституции РФ содержатся также нормы коммерческого права. Так, ст. 8 гласит, что в Российской Федерации гарантируется единство экономического пространства, свободное перемещение товаров, услуг и финансовых средств, поддержка конкуренции, свобода экономической деятельности. Ст. 34 гарантирует каждому право на свободное использование своих способностей и имущества для предпринимательской и иной не запрещенной законом экономической деятельности.</w:t>
      </w:r>
    </w:p>
    <w:p w:rsidR="000C4962" w:rsidRPr="000C4962" w:rsidRDefault="000C4962" w:rsidP="000C4962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Важнейшим федеральным законом, своеобразным стержнем частного права является Гражданский кодекс РФ, который объединяет общие нормы частного права и специальные нормы, регулирующие предпринимательскую деятельность. Гражданский кодекс занимает центральное место среди источников коммерческого права как наиболее стабильный акт, гарантирующий предпринимателю наиболее стабильные условия деятельности, вокруг которого группируются специальные законы и подзаконные акты, регулирующие предпринимательскую деятельность. Это в частности выражается также в том, что «нормы гражданского права, содержащиеся в других законах, должны соответствовать... Кодексу» (п. 2 ст. 3 ГК).</w:t>
      </w:r>
    </w:p>
    <w:p w:rsidR="000C4962" w:rsidRPr="000C4962" w:rsidRDefault="000C4962" w:rsidP="000C4962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Динамика общественной жизни, в частности предпринимательства, учитывается в текущих законах. К числу важнейших специальных законов, регламентирующих предпринимательство, можно отнести законы об акционерных обществах, о приватизации, о конкуренции и ограничении монополистической деятельности, об инвестиционной деятельности и многие другие.</w:t>
      </w:r>
    </w:p>
    <w:p w:rsidR="000C4962" w:rsidRPr="000C4962" w:rsidRDefault="000C4962" w:rsidP="000C4962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Федеральные законы подлежат опубликованию и вступают в силу в соответствии с правилами, предусмотренными Федеральным законом РФ «О порядке опубликования и вступления в силу федеральных конституционных законов, федеральных законов, актов палат Федерального Собрания». Датой принятия федерального закона признается день, когда он утвержден Государственной Думой в окончательной редакции, а федерального конституционного закона - день одобрения палатами Федерального Собрания. Названные законы подлежат опубликованию в течение семи дней после их подписания Президентом РФ и вступают в силу одновременно на всей территории РФ по истечении десяти дней после их официального опубликования, если в самом законе не установлен иной порядок его вступления в силу.</w:t>
      </w:r>
    </w:p>
    <w:p w:rsidR="000C4962" w:rsidRPr="000C4962" w:rsidRDefault="000C4962" w:rsidP="000C4962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В соответствии со ст. 76 Конституции РФ законы принимают также субъекты РФ. Например, Закон Санкт-Петербурга от 24 июня 1996 г. «О порядке применения упрощенной системы налогообложения, учета и отчетности для субъектов малого предпринимательства в Санкт-Петербурге». Законы субъектов РФ не могут противоречить федеральным законам, принятым по предметам ведения Российской Федерации и совместного ведения Российской Федерации и субъектов РФ. В случае противоречия между названными законами действует федеральный закон.</w:t>
      </w:r>
    </w:p>
    <w:p w:rsidR="000C4962" w:rsidRPr="000C4962" w:rsidRDefault="000C4962" w:rsidP="000C4962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В связи с этим следует заметить, что ст. 71 Конституции РФ отнесла к ведению РФ гражданское (коммерческое) и арбитражно-процессуальное законодательство. Соответственно п. 2 ст. 3 ГК устанавливает, что гражданское (коммерческое) законодательство состоит из ГК и принятых в соответствии с ним иных федеральных законов, регулирующих гражданские (коммерческие) отношения.</w:t>
      </w: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Содержание закона образует первичные нормы, которые в отдельных случаях получают дальнейшую конкретизацию и развитие в нормативных актах.</w:t>
      </w:r>
    </w:p>
    <w:p w:rsidR="000C4962" w:rsidRPr="000C4962" w:rsidRDefault="000C4962" w:rsidP="000C4962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Нормативные акты, не относящиеся к законам, являются подзаконными. Это нормативные акты Президента и Правительства РФ, министерств и ведомств, местных органов власти и управления. Среди них ведущую роль играют нормативные акты, издаваемые Президентом РФ и Правительством РФ. Многие из них содержат нормы коммерческого права. Например, Указ Президента РФ от 17 сентября 1994 г. № 1929 «О развитии финансового лизинга в инвестиционной деятельности»," постановление Правительства РФ от 29 июня 1995 г. № 633 «О развитии лизинга в инвестиционной деятельности»."</w:t>
      </w:r>
    </w:p>
    <w:p w:rsidR="000C4962" w:rsidRPr="000C4962" w:rsidRDefault="000C4962" w:rsidP="000C4962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Сфера действия Указов Президента РФ и постановлений Правительства РФ и их юридическая сила различны (п. 3-6 ст. 3 ГК). Указы Президента РФ могут быть приняты по любому вопросу, который входит в компетенцию Президента РФ (ст. 80-90 Конституции РФ), но не должны противоречить законам. Постановления Правительства РФ могут быть приняты лишь на основании и во исполнение законов и указов Президента РФ. В случае противоречия указа Президента РФ или постановления Правительства РФ закону применяется соответствующий закон. В случае противоречия постановления Правительства РФ указу Президента РФ применяется указ.</w:t>
      </w:r>
    </w:p>
    <w:p w:rsidR="000C4962" w:rsidRPr="000C4962" w:rsidRDefault="000C4962" w:rsidP="000C4962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Указы Президента РФ и постановления Правительства РФ подлежат опубликованию и вступают в силу в соответствии с правилами, предусмотренными Указом Президента РФ от 23 мая 1996 г. №763 «О порядке опубликования и вступления в силу актов Президента Российской Федерации, Правительства Российской Федерации и норма-тивных правовых актов федеральных органов исполнительной власти». Указы Президента РФ, имеющие нормативный характер, вступают в силу на всей территории Российской Федерации одновременно по истечении семи дней после дня их первого официального опубликования в «Российской газете» или в «Собрании законодательства РФ», если иной срок не определен соответствующим указом. Постановления Правительства РФ, затрагивающие права, свободы и обязанности человека и гражданина, устанавливающие правовой статус федеральных органов исполнительной власти, а также организаций, вступают в силу одновременно на всей территории РФ по истечении семи дней после дня их первого официального опубликования в тех же печатных органах.</w:t>
      </w:r>
    </w:p>
    <w:p w:rsidR="000C4962" w:rsidRPr="000C4962" w:rsidRDefault="000C4962" w:rsidP="000C4962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Нормы какого-либо права могут содержаться в нормативных актах министерств и иных федеральных органов исполнительной власти (ведомственных нормативных актах). Однако следует иметь в виду, что министерства и иные федеральные органы исполнительной власти могут издавать нормативные акты, содержащие нормы коммерческого права, лишь в случаях и в пределах, предусмотренных законами и иными правовыми актами (п. 7 ст. 3 ГК), т. е. сфера нормотворческой деятельности названных органов власти существенно ограничена.</w:t>
      </w:r>
    </w:p>
    <w:p w:rsidR="000C4962" w:rsidRPr="000C4962" w:rsidRDefault="000C4962" w:rsidP="000C4962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Ведомственные нормативные акты подлежат опубликованию и вступают в силу в соответствии с правилами, предусмотренными названным выше Указом Президента РФ от 23 мая 1996 г. № 763. В соответствии с ним ведомственные нормативные акты, затрагивающие права, свободы и обязанности человека и гражданина, устанавливающие правовой статус организаций или носящие межведомственный характер, прошедшие государственную регистрацию в Министерстве юстиции РФ, подлежат официальному опубликованию в газете «Российские вести», кроме актов или отдельных их положений, содержащих сведения, составляющие государственную тайну или сведения конфиденциального характера. Официальное опубликование осуществляется в течение 10 дней после их государственной регистрации. Акты, не прошедшие государственную регистрацию, а также зарегистрированные, но не опубликованные в установленном порядке, не влекут за собой правовых последствий как не вступившие в силу и не могут служить законным основанием для регулирования соответствующих отношений. На указанные акты нельзя ссылаться при разрешении споров.</w:t>
      </w: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Переход от подзаконного регулирования к преимущественному регулированию непосредственно законом - одна из главных тенденций развития современного российского законодательства. В настоящее время необходимо добиться, чтобы закон имел по возможности прямое действие и лишь по необходимости отсылал к подзаконным актам. Пока, к сожалению, этого в достаточной мере не достигнуто. Новейшие законы по-прежнему обрастают подзаконными нормативными актами, различными положениями, инструкциями, приказами и т. п. Для того чтобы закон имел прямое действие, он должен быть достаточно подробным, детализированным ровно в такой степени, в какой сможет непосредственно регулировать соответствующие отношения.</w:t>
      </w:r>
    </w:p>
    <w:p w:rsidR="000C4962" w:rsidRPr="000C4962" w:rsidRDefault="000C4962" w:rsidP="000C4962">
      <w:pPr>
        <w:pStyle w:val="af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 xml:space="preserve">При этом следует иметь в виду, что детальной регламентации в законах должна быть подвергнута деятельность органов публичной власти (публичные отношения), их компетенция и ответственность должны быть четко зафиксированы, их власть должна быть ограничена по принципу «можно только то, что разрешено законом». </w:t>
      </w:r>
    </w:p>
    <w:p w:rsidR="000C4962" w:rsidRDefault="000C4962" w:rsidP="000C4962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C4962" w:rsidRPr="000C4962" w:rsidRDefault="000C4962" w:rsidP="000C4962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C4962">
        <w:rPr>
          <w:rFonts w:ascii="Times New Roman" w:hAnsi="Times New Roman"/>
          <w:b/>
          <w:bCs/>
          <w:sz w:val="28"/>
          <w:szCs w:val="28"/>
        </w:rPr>
        <w:t>Действие нормативно-правовых актов во времени</w:t>
      </w:r>
    </w:p>
    <w:p w:rsid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Действие нормативно-правовых актов во времени определяется двумя моментами: моментом вступления нормативно-правового акта в силу и моментом утраты им юридической силы.</w:t>
      </w:r>
      <w:r w:rsidRPr="000C4962">
        <w:rPr>
          <w:rFonts w:ascii="Times New Roman" w:hAnsi="Times New Roman"/>
          <w:sz w:val="28"/>
          <w:szCs w:val="28"/>
        </w:rPr>
        <w:br/>
        <w:t>Вступление в силу нормативно-правового акта может быть осуществлено одним из следующих способов:</w:t>
      </w:r>
    </w:p>
    <w:p w:rsidR="000C4962" w:rsidRPr="000C4962" w:rsidRDefault="000C4962" w:rsidP="000C4962">
      <w:pPr>
        <w:pStyle w:val="a1"/>
        <w:numPr>
          <w:ilvl w:val="0"/>
          <w:numId w:val="11"/>
        </w:numPr>
        <w:tabs>
          <w:tab w:val="left" w:pos="70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 xml:space="preserve">через указание в тексте на календарную дату, с момента наступления которой он вступает в юридическую силу; </w:t>
      </w:r>
    </w:p>
    <w:p w:rsidR="000C4962" w:rsidRPr="000C4962" w:rsidRDefault="000C4962" w:rsidP="000C4962">
      <w:pPr>
        <w:pStyle w:val="a1"/>
        <w:numPr>
          <w:ilvl w:val="0"/>
          <w:numId w:val="11"/>
        </w:numPr>
        <w:tabs>
          <w:tab w:val="left" w:pos="70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 xml:space="preserve">через указание на обстоятельства, с которыми связано вступление акта в юридическую силу ("с момента опубликования", "с момента подписания" и т.д.) </w:t>
      </w:r>
    </w:p>
    <w:p w:rsidR="000C4962" w:rsidRPr="000C4962" w:rsidRDefault="000C4962" w:rsidP="000C4962">
      <w:pPr>
        <w:pStyle w:val="a1"/>
        <w:numPr>
          <w:ilvl w:val="0"/>
          <w:numId w:val="11"/>
        </w:numPr>
        <w:tabs>
          <w:tab w:val="left" w:pos="70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 xml:space="preserve">по истечении определенного указанного в другом законе (например в ФЗ от 14 июня 1994г. №5-ФЗ "О ПОРЯДКЕ ОПУБЛИКОВАНИЯ И ВСТУПЛЕНИЯ В СИЛУ ФЕДЕРАЛЬНЫХ КОНСТИТУЦИОННЫХ ЗАКОНОВ, ФЕДЕРАЛЬНЫХ ЗАКОНОВ, АКТОВ ПАЛАТ ФЕДЕРАЛЬНОГО СОБРАНИЯ") времени после официального опубликования. </w:t>
      </w: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Момент утраты юр. силы определяется также волей законодателя и может быть связан:</w:t>
      </w:r>
    </w:p>
    <w:p w:rsidR="000C4962" w:rsidRPr="000C4962" w:rsidRDefault="000C4962" w:rsidP="000C4962">
      <w:pPr>
        <w:pStyle w:val="a1"/>
        <w:numPr>
          <w:ilvl w:val="0"/>
          <w:numId w:val="12"/>
        </w:numPr>
        <w:tabs>
          <w:tab w:val="left" w:pos="70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 xml:space="preserve">с истечением срока, на который он был принят (для временных актов) </w:t>
      </w:r>
    </w:p>
    <w:p w:rsidR="000C4962" w:rsidRPr="000C4962" w:rsidRDefault="000C4962" w:rsidP="000C4962">
      <w:pPr>
        <w:pStyle w:val="a1"/>
        <w:numPr>
          <w:ilvl w:val="0"/>
          <w:numId w:val="12"/>
        </w:numPr>
        <w:tabs>
          <w:tab w:val="left" w:pos="70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 xml:space="preserve">с наступлением срока, с которого акт объвляется отмененным (указание об утрате актом юридической силы может содержаться в отдельном акте). </w:t>
      </w: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Все остальные способы - способы прекращения правового действия, а не способы прекращения юр. силы. Например: принятие акта большей юр.силы. Существуют такие понятия как футуроспективное действие закона (обращен в будущее, рассчитан на facta futura), ретроактивное (распространение на отношения, возникшие до вступления данного акта в силу) и ультраактивное действие (акт утрачивает силу, а отдельные нормы продолжают действовать).</w:t>
      </w:r>
    </w:p>
    <w:p w:rsidR="000C4962" w:rsidRPr="000C4962" w:rsidRDefault="000C4962" w:rsidP="000C4962">
      <w:pPr>
        <w:pStyle w:val="3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rFonts w:ascii="Times New Roman" w:hAnsi="Times New Roman"/>
        </w:rPr>
      </w:pP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0C4962">
        <w:rPr>
          <w:rFonts w:ascii="Times New Roman" w:hAnsi="Times New Roman"/>
          <w:b/>
          <w:bCs/>
          <w:sz w:val="28"/>
          <w:szCs w:val="28"/>
        </w:rPr>
        <w:t>2. Классифицируйте по группам конституционные права и свободы человека и гражданина РФ</w:t>
      </w: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962" w:rsidRPr="000C4962" w:rsidRDefault="000C4962" w:rsidP="000C4962">
      <w:pPr>
        <w:pStyle w:val="a1"/>
        <w:numPr>
          <w:ilvl w:val="0"/>
          <w:numId w:val="3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Личные права;</w:t>
      </w:r>
    </w:p>
    <w:p w:rsidR="000C4962" w:rsidRPr="000C4962" w:rsidRDefault="000C4962" w:rsidP="000C4962">
      <w:pPr>
        <w:pStyle w:val="a1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Политические;</w:t>
      </w:r>
    </w:p>
    <w:p w:rsidR="000C4962" w:rsidRPr="000C4962" w:rsidRDefault="000C4962" w:rsidP="000C4962">
      <w:pPr>
        <w:pStyle w:val="a1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709"/>
        <w:jc w:val="both"/>
        <w:rPr>
          <w:rStyle w:val="a8"/>
          <w:rFonts w:ascii="Times New Roman" w:hAnsi="Times New Roman"/>
          <w:sz w:val="28"/>
          <w:szCs w:val="28"/>
          <w:vertAlign w:val="baseline"/>
        </w:rPr>
      </w:pPr>
      <w:r w:rsidRPr="000C4962">
        <w:rPr>
          <w:rFonts w:ascii="Times New Roman" w:hAnsi="Times New Roman"/>
          <w:sz w:val="28"/>
          <w:szCs w:val="28"/>
        </w:rPr>
        <w:t>Социальные и экономические права;</w:t>
      </w:r>
      <w:r w:rsidRPr="000C4962">
        <w:rPr>
          <w:rStyle w:val="a8"/>
          <w:rFonts w:ascii="Times New Roman" w:hAnsi="Times New Roman"/>
          <w:sz w:val="28"/>
          <w:szCs w:val="28"/>
          <w:vertAlign w:val="baseline"/>
        </w:rPr>
        <w:t xml:space="preserve"> </w:t>
      </w:r>
    </w:p>
    <w:p w:rsidR="000C4962" w:rsidRPr="000C4962" w:rsidRDefault="000C4962" w:rsidP="000C4962">
      <w:pPr>
        <w:pStyle w:val="a1"/>
        <w:numPr>
          <w:ilvl w:val="0"/>
          <w:numId w:val="2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Культурные права.</w:t>
      </w:r>
    </w:p>
    <w:p w:rsidR="000C4962" w:rsidRPr="000C4962" w:rsidRDefault="000C4962" w:rsidP="000C4962">
      <w:pPr>
        <w:pStyle w:val="a1"/>
        <w:numPr>
          <w:ilvl w:val="0"/>
          <w:numId w:val="4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Личные права человека – наиболее широко определенные Конституцией. Специфика их заключается в том, что это именно те права,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присущи любому человеку от рождения, не связаны с понятием гражданства.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Все эти права определяют свободу человека в его личной жизни, его юридическую защищенность от какого-либо незаконного вмешательства – ограждение автономии личности.(ст. 17, 18, 20, 21, 22, 23, 24, 25, 26, 27, 28, 29, 37, 38 Конституции РФ)</w:t>
      </w:r>
    </w:p>
    <w:p w:rsidR="000C4962" w:rsidRPr="000C4962" w:rsidRDefault="000C4962" w:rsidP="000C4962">
      <w:pPr>
        <w:pStyle w:val="a1"/>
        <w:numPr>
          <w:ilvl w:val="0"/>
          <w:numId w:val="5"/>
        </w:numPr>
        <w:tabs>
          <w:tab w:val="clear" w:pos="360"/>
          <w:tab w:val="left" w:pos="375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Политические права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и свободы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отражают возможность участвовать в политической жизни и осуществлении государственной власти. Однако этот критерий дает возможность рассматривать многие из так называемых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личных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прав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в числе прав гражданских и политических – например, право на свободу мысли и слова, получение, производство и распространение информации (ст. 29).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качестве критерия выделения данной группы прав и свобод в относительно самостоятельную группу, думается, целесообразно рассматривать такое понятие как “гражданство” – выше приводилось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определение этого института, данное в Законе о гражданстве РФ.</w:t>
      </w:r>
      <w:r w:rsidRPr="000C4962">
        <w:rPr>
          <w:rStyle w:val="a8"/>
          <w:rFonts w:ascii="Times New Roman" w:hAnsi="Times New Roman"/>
          <w:sz w:val="28"/>
          <w:szCs w:val="28"/>
          <w:vertAlign w:val="baseline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Кроме того, нужно отметить, что несмотря на естественность и неотчуждаемость этих прав, в полном объеме они могут быть осуществлены по достижении лицом, наделенным гражданством РФ 18 лет (ст. 60 Конституции РФ) – т.е. возраста полной дееспособности. Следует также отметить, что осуществление некоторые политических прав регулируется другими статьями Конституции. Так,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депутатом Государственной думы может быть избран гражданин по достижению им возраста 21 года (ст. 97 КРФ),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для избрания Президентом установлен возрастной ценз в 35 лет (ст. 81 КРФ). Такие ограничения оправданы тем, что, достигнув определенного возраста, гражданин осознает и предвидит последствия своих действий, обладает жизненным опытом и в состоянии нести обязательства, которые, как известно всегда сопутствуют правам.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Политические права являются непременным условием реализации всех других прав граждан, поскольку они образуют основу системы демократии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и выступают как средство контроля за властью. (ст. 30, 31, 32, 33 Конституции РФ)</w:t>
      </w:r>
    </w:p>
    <w:p w:rsidR="000C4962" w:rsidRPr="000C4962" w:rsidRDefault="000C4962" w:rsidP="000C4962">
      <w:pPr>
        <w:pStyle w:val="a1"/>
        <w:numPr>
          <w:ilvl w:val="0"/>
          <w:numId w:val="6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Говоря о правах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социально-экономических, необходимо отметить,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Конституция 1993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привнесла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много нового в эту сферу жизни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личность стала экономически активной. Положения об экономических и социальных правах и свободах человека, изложенные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в Международном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Пакте об экономических, социальных и культурных правах от 16 декабря 1966 года легли в основу статей Конституции РФ 1993 года.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Помимо положений, регулирующих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экономические права и свободы,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большое количество норм регулируют социальную сферу. Можно сказать, что здесь речь в большей степени идет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 xml:space="preserve">только и не столько правах, сколько о гарантиях. (ст. 34, 35, 36, 39, 40, 41, 42, 43 Конституции РФ) </w:t>
      </w:r>
    </w:p>
    <w:p w:rsidR="000C4962" w:rsidRPr="000C4962" w:rsidRDefault="000C4962" w:rsidP="000C4962">
      <w:pPr>
        <w:pStyle w:val="a1"/>
        <w:numPr>
          <w:ilvl w:val="0"/>
          <w:numId w:val="7"/>
        </w:numPr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Культурные права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Осуществление этих прав и свобод человека в демократическом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социальном государстве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предполагает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гарантии на свободу творчества (ст. 44); право на защиту интеллектуальной собственности (ст. 44); право на участие в культурной жизни и пользование учреждениями культуры (ст. 45).</w:t>
      </w: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Особое место в системе прав и свобод человека и гражданина в российской федерации занимают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так называемые “права по защите других прав”. “Российская Федерация – Россия есть демократическое федеративное правовое государство….”- это самое первое положение Конституции РФ утверждает, что Российское государство, приняв и подписав положения международных документов по правам человека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взяло на себя обязанность и закрепило ее конституционно гарантировать осуществление и законную защиту прав и свобод человека и гражданина в случае любого их нарушения.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(ст. 1, 2, 45 — 56, 61 — 64 Конституции РФ)</w:t>
      </w: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Pr="000C4962">
        <w:rPr>
          <w:rFonts w:ascii="Times New Roman" w:hAnsi="Times New Roman"/>
          <w:b/>
          <w:bCs/>
          <w:sz w:val="28"/>
          <w:szCs w:val="28"/>
        </w:rPr>
        <w:t>3. В чем проявляется связь местного самоуправления с государственным управлением?</w:t>
      </w:r>
    </w:p>
    <w:p w:rsid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 xml:space="preserve">Понятие «местное самоуправление» включает в себя комплексное и многообразное представление об организации жизнедеятельности общества и государства, которое естественно предполагает различные подходы к его толкованию. Обычно </w:t>
      </w:r>
      <w:r w:rsidRPr="000C4962">
        <w:rPr>
          <w:rFonts w:ascii="Times New Roman" w:hAnsi="Times New Roman"/>
          <w:b/>
          <w:sz w:val="28"/>
          <w:szCs w:val="28"/>
        </w:rPr>
        <w:t xml:space="preserve">под местным самоуправлением понимается конституционно закреплённая организация власти на местах, предполагающая самостоятельное решение населением вопросов местного значения. </w:t>
      </w:r>
      <w:r w:rsidRPr="000C4962">
        <w:rPr>
          <w:rFonts w:ascii="Times New Roman" w:hAnsi="Times New Roman"/>
          <w:sz w:val="28"/>
          <w:szCs w:val="28"/>
        </w:rPr>
        <w:t>Следовательно, местное самоуправление является:</w:t>
      </w: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а) основой конституционного строя страны;</w:t>
      </w: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б) правом населения на самостоятельное решение вопросов местного значения;</w:t>
      </w: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в) формой народовластия.</w:t>
      </w: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Конституция Российской Федерации, определяя российское государство как демократическое, закрепляет важнейшие устои его демократизма, находящие выражение прежде всего в народовластии, разделении властей на законодательную, исполнительную и судебную, идеологическом и политическом многообразии, а также местном самоуправлении. Местное самоуправление</w:t>
      </w:r>
      <w:r w:rsidRPr="00E64FF6">
        <w:rPr>
          <w:rFonts w:ascii="Times New Roman" w:hAnsi="Times New Roman"/>
          <w:sz w:val="28"/>
        </w:rPr>
        <w:t>*</w:t>
      </w:r>
      <w:r w:rsidRPr="000C4962">
        <w:rPr>
          <w:rFonts w:ascii="Times New Roman" w:hAnsi="Times New Roman"/>
          <w:sz w:val="28"/>
          <w:szCs w:val="28"/>
        </w:rPr>
        <w:t xml:space="preserve"> признаётся и гарантируется в статьях 3(п.2), 12, 130-133 и др. Конституции, а в Федеральном законе «Об общих принципах организации местного самоуправления в Российской Федерации» в статье 2 прямо указывается: «Местное самоуправление как выражение власти народа составляет одну из основ конституционного строя Российской Федерации».</w:t>
      </w: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Признание местного самоуправления в качестве одной из основ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 xml:space="preserve">конституционного строя предполагает установление децентрализованной системы управления, закрепление иных основ взаимоотношений федеральных органов государственной власти, органов государственной власти субъектов Российской Федерации и органов местного самоуправления. В соответствии со статьёй 12 Конституции РФ органы местного самоуправления не входят в систему органов государственной власти. Следовательно, они не могут рассматриваться как структурное подразделение государственной системы управления. Федеральный закон «Об общих принципах организации местного самоуправления в Российской Федерации» определяет предметы ведения местного самоуправления, затем разграничивает полномочия органов государственной власти РФ (ст.4) и органов государственной власти субъектов РФ (ст.5) в области местного самоуправления. </w:t>
      </w: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 xml:space="preserve">Статьи 32(п.2) и 130 Конституции РФ определяют местное самоуправление как </w:t>
      </w:r>
      <w:r w:rsidRPr="000C4962">
        <w:rPr>
          <w:rFonts w:ascii="Times New Roman" w:hAnsi="Times New Roman"/>
          <w:i/>
          <w:sz w:val="28"/>
          <w:szCs w:val="28"/>
        </w:rPr>
        <w:t>право</w:t>
      </w:r>
      <w:r w:rsidRPr="000C4962">
        <w:rPr>
          <w:rFonts w:ascii="Times New Roman" w:hAnsi="Times New Roman"/>
          <w:sz w:val="28"/>
          <w:szCs w:val="28"/>
        </w:rPr>
        <w:t xml:space="preserve"> населения на самостоятельное решение вопросов местного значения путём формирования органов местного самоуправления и через прямое участие (референдумы, выборы и другие формы волеизъявления) граждан в интересах всего населения. Российское законодательство признаёт основным субъектом права на самоуправление население городских и сельских поселений. Федеральный закон «Об общих принципах организации местного самоуправления в Российской Федерации» закрепил: «Население городского, сельского поселения независимо от его численности не может быть лишено права на осуществление местного самоуправления» (ст.12). Согласно статье 3 Конституции РФ народ осуществляет свою власть: а) непосредственно (т.е. путём референдумов, выборов); б) через органы государственной власти; в) через органы местного самоуправления. Таким образом, местное самоуправление ¾ это одна из форм реализации народом принадлежащей ему власти.</w:t>
      </w: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 xml:space="preserve">Определение местного самоуправления, характеризующее его как форму народовластия, содержится в Федеральном законе «Об общих принципах организации местного самоуправления в Российской Федерации». Статья 2 данного Закона гласит: «Местное самоуправление в Российской Федерации ¾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значения, исходя из интересов населения, его исторических и иных местных традиций». </w:t>
      </w:r>
    </w:p>
    <w:p w:rsidR="000C4962" w:rsidRPr="000C4962" w:rsidRDefault="000C4962" w:rsidP="000C4962">
      <w:pPr>
        <w:pStyle w:val="a1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962">
        <w:rPr>
          <w:rFonts w:ascii="Times New Roman" w:hAnsi="Times New Roman"/>
          <w:sz w:val="28"/>
          <w:szCs w:val="28"/>
        </w:rPr>
        <w:t>Хотя законодатель констатирует тот факт, что местное самоуправление автономно не только в решении вопросов местного значения, но и в несении ответственности за свои действия, следует отметить, что местное самоуправление не является замкнутым для государства образованием, как бы «государством в государстве». В соответствии со статьёй 132 Конституции РФ органы местного самоуправления могут наделяться отдельными государственными полномочиями, участвовать в осуществлении государственных функций. Государственные органы вправе в этом случае осуществлять контроль за их реализацией, а также осуществлять контроль за соответствием Конституции, законодательству РФ, субъектов РФ действий местного самоуправления и их органов при решении ими различных вопросов местного значения. Однако Федеральный закон запрещает осуществление местного самоуправления органами государственной власти и государственными должностными лицами. Значит местное самоуправление не может быть отнесено исключительно к институтам гражданского общества, ибо местное самоуправление ¾ это не просто форма самоорганизации населения для решения местных вопросов. Это и форма осуществления публичной власти, власти народа. Следовательно, муниципальная власть и власть государственная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4962">
        <w:rPr>
          <w:rFonts w:ascii="Times New Roman" w:hAnsi="Times New Roman"/>
          <w:sz w:val="28"/>
          <w:szCs w:val="28"/>
        </w:rPr>
        <w:t>это две формы власти народа.</w:t>
      </w:r>
      <w:bookmarkStart w:id="0" w:name="_GoBack"/>
      <w:bookmarkEnd w:id="0"/>
    </w:p>
    <w:sectPr w:rsidR="000C4962" w:rsidRPr="000C4962" w:rsidSect="00A87DC0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RTF_Num 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RTF_Num 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RTF_Num 2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RTF_Num 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RTF_Num 2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DC0"/>
    <w:rsid w:val="000C4962"/>
    <w:rsid w:val="006D3848"/>
    <w:rsid w:val="00A87DC0"/>
    <w:rsid w:val="00C75295"/>
    <w:rsid w:val="00E6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1C181B-BF8C-41CC-B780-6F01B43F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DejaVu Sans" w:hAnsi="DejaVu Sans"/>
      <w:kern w:val="1"/>
      <w:sz w:val="24"/>
      <w:szCs w:val="24"/>
    </w:rPr>
  </w:style>
  <w:style w:type="paragraph" w:styleId="2">
    <w:name w:val="heading 2"/>
    <w:basedOn w:val="a0"/>
    <w:next w:val="a1"/>
    <w:link w:val="20"/>
    <w:uiPriority w:val="9"/>
    <w:qFormat/>
    <w:pPr>
      <w:numPr>
        <w:ilvl w:val="1"/>
        <w:numId w:val="1"/>
      </w:numPr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1"/>
    <w:link w:val="30"/>
    <w:uiPriority w:val="9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kern w:val="1"/>
      <w:sz w:val="26"/>
      <w:szCs w:val="26"/>
    </w:rPr>
  </w:style>
  <w:style w:type="character" w:styleId="a5">
    <w:name w:val="Hyperlink"/>
    <w:uiPriority w:val="99"/>
    <w:semiHidden/>
    <w:rPr>
      <w:color w:val="000080"/>
      <w:u w:val="single"/>
    </w:rPr>
  </w:style>
  <w:style w:type="character" w:customStyle="1" w:styleId="a6">
    <w:name w:val="Маркеры списка"/>
    <w:rPr>
      <w:rFonts w:ascii="StarSymbol" w:eastAsia="Times New Roman" w:hAnsi="StarSymbol"/>
      <w:sz w:val="18"/>
    </w:rPr>
  </w:style>
  <w:style w:type="character" w:customStyle="1" w:styleId="a7">
    <w:name w:val="Символ нумерации"/>
  </w:style>
  <w:style w:type="character" w:styleId="a8">
    <w:name w:val="footnote reference"/>
    <w:uiPriority w:val="99"/>
    <w:semiHidden/>
    <w:rPr>
      <w:vertAlign w:val="superscript"/>
    </w:rPr>
  </w:style>
  <w:style w:type="character" w:customStyle="1" w:styleId="RTFNum281">
    <w:name w:val="RTF_Num 28 1"/>
    <w:rPr>
      <w:rFonts w:ascii="Wingdings" w:eastAsia="Times New Roman" w:hAnsi="Wingdings"/>
    </w:rPr>
  </w:style>
  <w:style w:type="character" w:customStyle="1" w:styleId="RTFNum41">
    <w:name w:val="RTF_Num 4 1"/>
    <w:rPr>
      <w:rFonts w:ascii="Wingdings" w:eastAsia="Times New Roman" w:hAnsi="Wingdings"/>
    </w:rPr>
  </w:style>
  <w:style w:type="character" w:customStyle="1" w:styleId="a9">
    <w:name w:val="Символ сноски"/>
  </w:style>
  <w:style w:type="character" w:customStyle="1" w:styleId="RTFNum251">
    <w:name w:val="RTF_Num 25 1"/>
    <w:rPr>
      <w:rFonts w:ascii="Symbol" w:eastAsia="Times New Roman" w:hAnsi="Symbol"/>
    </w:rPr>
  </w:style>
  <w:style w:type="character" w:customStyle="1" w:styleId="RTFNum231">
    <w:name w:val="RTF_Num 23 1"/>
    <w:rPr>
      <w:rFonts w:ascii="Symbol" w:eastAsia="Times New Roman" w:hAnsi="Symbol"/>
    </w:rPr>
  </w:style>
  <w:style w:type="character" w:customStyle="1" w:styleId="RTFNum71">
    <w:name w:val="RTF_Num 7 1"/>
    <w:rPr>
      <w:rFonts w:ascii="Symbol" w:eastAsia="Times New Roman" w:hAnsi="Symbol"/>
    </w:rPr>
  </w:style>
  <w:style w:type="character" w:customStyle="1" w:styleId="RTFNum291">
    <w:name w:val="RTF_Num 29 1"/>
    <w:rPr>
      <w:rFonts w:ascii="Symbol" w:eastAsia="Times New Roman" w:hAnsi="Symbol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cs="DejaVu Sans"/>
      <w:sz w:val="28"/>
      <w:szCs w:val="28"/>
    </w:rPr>
  </w:style>
  <w:style w:type="paragraph" w:styleId="a1">
    <w:name w:val="Body Text"/>
    <w:basedOn w:val="a"/>
    <w:link w:val="aa"/>
    <w:uiPriority w:val="99"/>
    <w:semiHidden/>
    <w:pPr>
      <w:spacing w:after="120"/>
    </w:pPr>
  </w:style>
  <w:style w:type="character" w:customStyle="1" w:styleId="aa">
    <w:name w:val="Основной текст Знак"/>
    <w:link w:val="a1"/>
    <w:uiPriority w:val="99"/>
    <w:semiHidden/>
    <w:rPr>
      <w:rFonts w:ascii="DejaVu Sans" w:hAnsi="DejaVu Sans"/>
      <w:kern w:val="1"/>
      <w:sz w:val="24"/>
      <w:szCs w:val="24"/>
    </w:rPr>
  </w:style>
  <w:style w:type="paragraph" w:styleId="ab">
    <w:name w:val="Title"/>
    <w:basedOn w:val="a0"/>
    <w:next w:val="ac"/>
    <w:link w:val="ad"/>
    <w:uiPriority w:val="10"/>
    <w:qFormat/>
  </w:style>
  <w:style w:type="character" w:customStyle="1" w:styleId="ad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0"/>
    <w:next w:val="a1"/>
    <w:link w:val="ae"/>
    <w:uiPriority w:val="11"/>
    <w:qFormat/>
    <w:pPr>
      <w:jc w:val="center"/>
    </w:pPr>
    <w:rPr>
      <w:i/>
      <w:iCs/>
    </w:rPr>
  </w:style>
  <w:style w:type="character" w:customStyle="1" w:styleId="ae">
    <w:name w:val="Подзаголовок Знак"/>
    <w:link w:val="ac"/>
    <w:uiPriority w:val="11"/>
    <w:rPr>
      <w:rFonts w:ascii="Cambria" w:eastAsia="Times New Roman" w:hAnsi="Cambria" w:cs="Times New Roman"/>
      <w:kern w:val="1"/>
      <w:sz w:val="24"/>
      <w:szCs w:val="24"/>
    </w:rPr>
  </w:style>
  <w:style w:type="paragraph" w:styleId="af">
    <w:name w:val="List"/>
    <w:basedOn w:val="a1"/>
    <w:uiPriority w:val="99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списка"/>
    <w:basedOn w:val="a"/>
    <w:pPr>
      <w:ind w:left="567"/>
    </w:pPr>
  </w:style>
  <w:style w:type="paragraph" w:customStyle="1" w:styleId="af3">
    <w:name w:val="Заголовок списка"/>
    <w:basedOn w:val="a"/>
    <w:next w:val="af2"/>
  </w:style>
  <w:style w:type="paragraph" w:styleId="af4">
    <w:name w:val="footnote text"/>
    <w:basedOn w:val="a"/>
    <w:link w:val="af5"/>
    <w:uiPriority w:val="99"/>
  </w:style>
  <w:style w:type="character" w:customStyle="1" w:styleId="af5">
    <w:name w:val="Текст сноски Знак"/>
    <w:link w:val="af4"/>
    <w:uiPriority w:val="99"/>
    <w:semiHidden/>
    <w:rPr>
      <w:rFonts w:ascii="DejaVu Sans" w:hAnsi="DejaVu Sans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3141</Words>
  <Characters>17908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1. Закон и подзаконные акты РФ</vt:lpstr>
      <vt:lpstr>        </vt:lpstr>
    </vt:vector>
  </TitlesOfParts>
  <Company>Reanimator Extreme Edition</Company>
  <LinksUpToDate>false</LinksUpToDate>
  <CharactersWithSpaces>21007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2014-03-06T15:29:00Z</dcterms:created>
  <dcterms:modified xsi:type="dcterms:W3CDTF">2014-03-06T15:29:00Z</dcterms:modified>
</cp:coreProperties>
</file>