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55" w:rsidRDefault="00034055" w:rsidP="00D10F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5971" w:rsidRPr="00D10F42" w:rsidRDefault="00095971" w:rsidP="00D10F42">
      <w:pPr>
        <w:jc w:val="center"/>
        <w:rPr>
          <w:rFonts w:ascii="Times New Roman" w:hAnsi="Times New Roman"/>
          <w:b/>
          <w:sz w:val="24"/>
          <w:szCs w:val="24"/>
        </w:rPr>
      </w:pPr>
      <w:r w:rsidRPr="00D10F42">
        <w:rPr>
          <w:rFonts w:ascii="Times New Roman" w:hAnsi="Times New Roman"/>
          <w:b/>
          <w:sz w:val="24"/>
          <w:szCs w:val="24"/>
        </w:rPr>
        <w:t>Основы проектирования технических средств охранной, охранно-пожарной и пожарной сигнализации</w:t>
      </w:r>
    </w:p>
    <w:p w:rsidR="00095971" w:rsidRPr="00D10F42" w:rsidRDefault="00095971" w:rsidP="00D10F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</w:p>
    <w:p w:rsidR="00095971" w:rsidRPr="00D10F42" w:rsidRDefault="00095971" w:rsidP="0061005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F42">
        <w:rPr>
          <w:rFonts w:ascii="Times New Roman" w:hAnsi="Times New Roman"/>
          <w:b/>
          <w:sz w:val="24"/>
          <w:szCs w:val="24"/>
        </w:rPr>
        <w:t>1. Общие сведения об охранной и охранно-пожарной сигнализации</w:t>
      </w:r>
    </w:p>
    <w:p w:rsidR="00095971" w:rsidRPr="00D10F42" w:rsidRDefault="00095971" w:rsidP="006100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Терминология по техническим средствам охранной (ТС ОС) и охранно-пожарной сигнализации (ТС ОПС) начала формироваться с появлением технических средств для решения названных функций. Наиболее активный период по разработке ТС ОПС и нормативной документации приходится на семидесятые и восьмидесятые годы прошлого столетия, когда после образования в 1952 г. вневедомственной охраны МВД СССР и затем образования в 1962 г. СКБ в составе ВНИИПО МВД СССР начался бурный процесс по созданию и освоению ТС ОПС.</w:t>
      </w:r>
    </w:p>
    <w:p w:rsidR="00095971" w:rsidRPr="00D10F42" w:rsidRDefault="00095971" w:rsidP="006100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В настоящее время в условиях рыночных отношений и реорганизации вневедомственной охраны продолжается дальнейшее развитие по созданию более совершенных ТС ОПС на базе новейших достижений микроэлектроники и вычислительной техники.</w:t>
      </w:r>
    </w:p>
    <w:p w:rsidR="00095971" w:rsidRPr="00D10F42" w:rsidRDefault="00095971" w:rsidP="006100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Однако, основы терминологии были заложены именно в начальный период создания ТС ОПС и получили дальнейшее развитие на современном этапе. Согласно (1) термин «системы охранной сигнализации» - это « Совокупность совместно действующих технических средств для обнаружения появления признаков нарушителя на охраняемых объектах, передачи, сбора, обработки и представления информации в заданном виде».</w:t>
      </w:r>
    </w:p>
    <w:p w:rsidR="00095971" w:rsidRPr="00D10F42" w:rsidRDefault="00095971" w:rsidP="006100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Термин «система охранно-пожарной сигнализации» определен как: «Совокупность совместно действующих технических средств для обнаружения появления признаков нарушителя на охраняемых объектах и/или пожара на них, передачи, сбора, обработки и представления информации в заданном виде».</w:t>
      </w:r>
    </w:p>
    <w:p w:rsidR="00095971" w:rsidRPr="00D10F42" w:rsidRDefault="00095971" w:rsidP="006100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Из понятия термина ТС ОПС вытекает определение термина «пожарная сигнализация», если из него исключить «признаки нарушителя».</w:t>
      </w:r>
    </w:p>
    <w:p w:rsidR="00095971" w:rsidRPr="00D10F42" w:rsidRDefault="00095971" w:rsidP="006100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С появлением новых ТС ОС и ТС ОПС терминология пополняется новыми наименованиями. В качестве примера можно привести нормативные документы (2,3,4)</w:t>
      </w:r>
    </w:p>
    <w:p w:rsidR="00095971" w:rsidRPr="00D10F42" w:rsidRDefault="00095971" w:rsidP="006100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Общие вопросы по проектированию, монтажу и техническому обслуживанию ТС ОПС изложены в (5).</w:t>
      </w:r>
    </w:p>
    <w:p w:rsidR="00095971" w:rsidRPr="00D10F42" w:rsidRDefault="00095971" w:rsidP="0061005C">
      <w:pPr>
        <w:jc w:val="both"/>
        <w:rPr>
          <w:rFonts w:ascii="Times New Roman" w:hAnsi="Times New Roman"/>
          <w:b/>
          <w:sz w:val="24"/>
          <w:szCs w:val="24"/>
        </w:rPr>
      </w:pPr>
      <w:r w:rsidRPr="00D10F42">
        <w:rPr>
          <w:rFonts w:ascii="Times New Roman" w:hAnsi="Times New Roman"/>
          <w:b/>
          <w:sz w:val="24"/>
          <w:szCs w:val="24"/>
        </w:rPr>
        <w:t>2. Организация охраны объектов. Автономная и централизованная охрана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Что будем понимать под термином «охрана объекта»? Наиболее полное определение термина «охрана объекта» дано в (4) «Регламентированная совокупность организационно-штатных мероприятий, инженерно-технических средств и действий людей, направленных на предотвращение преступных посягательств на охраняемый объект, устранение или уменьшение угрозы здоровью и жизни людей, а также на защиту технических средств охраны и безопасности от умышленного вывода из строя».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От уровня организации охраны объекта в значительной степени зависит безопасность объекта, т.е. состояние защищенности объекта от внутренней и/или внешней угрозы нанесения неприемлемого ущерба. ТС ОПС напрямую связаны с задачей обеспечения, в том числе, и пожарной безопасности объекта (6).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По способу организации охрана может быть автономной и централизованной. Автономная охрана – это обособленная охрана объекта с отображением сигналов состояния ТС ОПС непосредственно на самом объекте. Автономная охрана используется, в основном, для малоценных объектов (ларьков, киосков, складов и т.д.), а также для объектов, не имеющих телефонной связи. Автономная сигнализация, в основном, выполняет роль отпугивающей сигнализации или сигнализации оповещения о возникшей тревоге сотрудников сторожевой и патрульной охраны.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Централизованная охрана – это комплекс технических средств для охраны рассредоточенных объектов с помощью специально оборудованных диспетчерских пунктов централизованной охраны (ПЦН), связанных с охраняемым объектами линиями ГТС или радиоканалами.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</w:p>
    <w:p w:rsidR="00095971" w:rsidRPr="00D10F42" w:rsidRDefault="00095971" w:rsidP="0061005C">
      <w:pPr>
        <w:jc w:val="both"/>
        <w:rPr>
          <w:rFonts w:ascii="Times New Roman" w:hAnsi="Times New Roman"/>
          <w:b/>
          <w:sz w:val="24"/>
          <w:szCs w:val="24"/>
        </w:rPr>
      </w:pPr>
      <w:r w:rsidRPr="00D10F42">
        <w:rPr>
          <w:rFonts w:ascii="Times New Roman" w:hAnsi="Times New Roman"/>
          <w:b/>
          <w:sz w:val="24"/>
          <w:szCs w:val="24"/>
        </w:rPr>
        <w:t>3. Классификация технических средств охраны и охранно-пожарной сигнализации (ТС ОПС)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Первым основополагающим документом классификации ТС ОПС является стандарт (7).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В соответствии с этим стандартом рассмотрим основные признаки классификации наиболее часто применяемых ТС ОПС.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</w:p>
    <w:p w:rsidR="00095971" w:rsidRPr="00D10F42" w:rsidRDefault="00095971" w:rsidP="00D10F42">
      <w:pPr>
        <w:jc w:val="both"/>
        <w:rPr>
          <w:rFonts w:ascii="Times New Roman" w:hAnsi="Times New Roman"/>
          <w:i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3.1. Классификация охранных и охранно-пожарных извещателей: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а)</w:t>
      </w:r>
      <w:r w:rsidRPr="00D10F42">
        <w:rPr>
          <w:rFonts w:ascii="Times New Roman" w:hAnsi="Times New Roman"/>
          <w:sz w:val="24"/>
          <w:szCs w:val="24"/>
        </w:rPr>
        <w:t xml:space="preserve"> по способу приведения в действие - на автоматические и ручные;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б)</w:t>
      </w:r>
      <w:r w:rsidRPr="00D10F42">
        <w:rPr>
          <w:rFonts w:ascii="Times New Roman" w:hAnsi="Times New Roman"/>
          <w:sz w:val="24"/>
          <w:szCs w:val="24"/>
        </w:rPr>
        <w:t xml:space="preserve"> по назначению: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для закрытых (отапливаемых) помещений;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для закрытых (не отапливаемых) помещений и открытых площадок и периметров.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в)</w:t>
      </w:r>
      <w:r w:rsidRPr="00D10F42">
        <w:rPr>
          <w:rFonts w:ascii="Times New Roman" w:hAnsi="Times New Roman"/>
          <w:sz w:val="24"/>
          <w:szCs w:val="24"/>
        </w:rPr>
        <w:t xml:space="preserve"> по виду зоны, контролируемой извещателем: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-точечные;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линейные;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поверхностные;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объемные;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г)</w:t>
      </w:r>
      <w:r w:rsidRPr="00D10F42">
        <w:rPr>
          <w:rFonts w:ascii="Times New Roman" w:hAnsi="Times New Roman"/>
          <w:sz w:val="24"/>
          <w:szCs w:val="24"/>
        </w:rPr>
        <w:t xml:space="preserve"> по принципу действия: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магнито контактные;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электромагнитные бесконтактные;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пьезоэлектрические;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емкостные;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ультразвуковые;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оптико-электронные;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радиоволновые;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вибрационные;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комбинированные.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д)</w:t>
      </w:r>
      <w:r w:rsidRPr="00D10F42">
        <w:rPr>
          <w:rFonts w:ascii="Times New Roman" w:hAnsi="Times New Roman"/>
          <w:sz w:val="24"/>
          <w:szCs w:val="24"/>
        </w:rPr>
        <w:t xml:space="preserve"> по дальности действия ультразвуковых, оптико-электронных, радиоволновых (объемных):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для закрытых помещений: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малой дальности-до 12 м;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средней дальности - свыше 12 до 30 м;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большой дальности – свыше 30 м;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е)</w:t>
      </w:r>
      <w:r w:rsidRPr="00D10F42">
        <w:rPr>
          <w:rFonts w:ascii="Times New Roman" w:hAnsi="Times New Roman"/>
          <w:sz w:val="24"/>
          <w:szCs w:val="24"/>
        </w:rPr>
        <w:t xml:space="preserve"> по дальности действия для открытых площадок и периметров: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малой дальности-до 50 м;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средней дальности -свыше 50 до 200м;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большой дальности –свыше 200.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</w:p>
    <w:p w:rsidR="00095971" w:rsidRPr="00D10F42" w:rsidRDefault="00095971" w:rsidP="0061005C">
      <w:pPr>
        <w:jc w:val="both"/>
        <w:rPr>
          <w:rFonts w:ascii="Times New Roman" w:hAnsi="Times New Roman"/>
          <w:i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3.2. Классификация пультов централизованного наблюдения (ПЦН):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а)</w:t>
      </w:r>
      <w:r w:rsidRPr="00D10F42">
        <w:rPr>
          <w:rFonts w:ascii="Times New Roman" w:hAnsi="Times New Roman"/>
          <w:sz w:val="24"/>
          <w:szCs w:val="24"/>
        </w:rPr>
        <w:t xml:space="preserve"> По информационной емкости ПЦН должны соответствовать СПИ;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б)</w:t>
      </w:r>
      <w:r w:rsidRPr="00D10F42">
        <w:rPr>
          <w:rFonts w:ascii="Times New Roman" w:hAnsi="Times New Roman"/>
          <w:sz w:val="24"/>
          <w:szCs w:val="24"/>
        </w:rPr>
        <w:t xml:space="preserve"> По информационности-аналогично СПИ: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в)</w:t>
      </w:r>
      <w:r w:rsidRPr="00D10F42">
        <w:rPr>
          <w:rFonts w:ascii="Times New Roman" w:hAnsi="Times New Roman"/>
          <w:sz w:val="24"/>
          <w:szCs w:val="24"/>
        </w:rPr>
        <w:t xml:space="preserve"> По алгоритму обслуживания ПЦН:&lt;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с ручным взятием объектов под охрану и ручным снятием объектов с охраны;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с автоматическим взятием под охрану и снятием объектов с охраны;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с комбинированием взятием и снятием;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с использованием автоматизированных рабочих мест (АРМ) с применением компьютерной техники.</w:t>
      </w:r>
    </w:p>
    <w:p w:rsidR="00095971" w:rsidRPr="00D10F42" w:rsidRDefault="00095971" w:rsidP="0061005C">
      <w:pPr>
        <w:jc w:val="both"/>
        <w:rPr>
          <w:rFonts w:ascii="Times New Roman" w:hAnsi="Times New Roman"/>
          <w:i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3.3. Классификация средств и систем контроля и управления доступом (СКУД) производится в соответствии с (8).</w:t>
      </w:r>
    </w:p>
    <w:p w:rsidR="00D10F42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В настоящее время СКУД находят все большее применение для целей контроля и индефикации персонала на объектах гражданского и промышленного назначения.</w:t>
      </w:r>
    </w:p>
    <w:p w:rsidR="00095971" w:rsidRPr="00D10F42" w:rsidRDefault="00095971" w:rsidP="0061005C">
      <w:pPr>
        <w:jc w:val="both"/>
        <w:rPr>
          <w:rFonts w:ascii="Times New Roman" w:hAnsi="Times New Roman"/>
          <w:i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3.4. Классификация систем охранного телевидения (СОТ) дана в стандарте (9).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В последние годы СОТ нашли широкое применение для целей видеонаблюдения и охраны. Преимущество СОТ перед традиционными ТС ОПС заключаются в документировании тревожной ситуации на объекте, что значительно облегчает процесс индефикации преступника по видеозаписям СОТ. Кроме того, в последние годы ведутся серьезные исследования по применению телевидения для обнаружения загораний на охраняемых объектах, что позволит значительно расширить сферу применения СОТ.</w:t>
      </w:r>
    </w:p>
    <w:p w:rsidR="00095971" w:rsidRPr="00D10F42" w:rsidRDefault="00095971" w:rsidP="0061005C">
      <w:pPr>
        <w:jc w:val="both"/>
        <w:rPr>
          <w:rFonts w:ascii="Times New Roman" w:hAnsi="Times New Roman"/>
          <w:i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3.5. Классификация интегрированных систем безопасности (ИСБ)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Под ИСБ понимается система, объединяющая средства охраны и безопасности объекта на основе единого программно-аппаратного комплекса с общей информационной средой и единой базой данных. За ИСБ будущее, так как она позволяет объединить в единый комплекс все подсистемы управления техническими средствами безопасности и управления инженерным оборудованием. В первую очередь начата интеграция таких подсистем как: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охранная сигнализация;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пожарная сигнализация;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системы управления оповещения и эвакуацией людей при пожаре;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система дымоудаления;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система СКУД и т.д.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Далее к ИСБ будут подключены системы инженерного оборудования: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система энергоснабжения и электроосвещения;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система вентиляции и теплоснабжения;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система обеспечения объекта в аварийных ситуациях и т.д.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В (10) для подразделений вневедомственной охраны рекомендовано использовать ИСБ «Рубеж – 07 - 3», «Орион», как наиболее адаптированные к условия и тактике работ ТС ОПС на объектах, охраняемых вневедомственной охраной. На рынке ТС ОПС предлагаются десятки всевозможных типов ИСБ.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Подробные сведения о ТС ОПС, необходимые при выборе и проектировании изложены в (11).</w:t>
      </w:r>
    </w:p>
    <w:p w:rsidR="00095971" w:rsidRPr="00D10F42" w:rsidRDefault="00095971" w:rsidP="0061005C">
      <w:pPr>
        <w:jc w:val="both"/>
        <w:rPr>
          <w:rFonts w:ascii="Times New Roman" w:hAnsi="Times New Roman"/>
          <w:b/>
          <w:sz w:val="24"/>
          <w:szCs w:val="24"/>
        </w:rPr>
      </w:pPr>
      <w:r w:rsidRPr="00D10F42">
        <w:rPr>
          <w:rFonts w:ascii="Times New Roman" w:hAnsi="Times New Roman"/>
          <w:b/>
          <w:sz w:val="24"/>
          <w:szCs w:val="24"/>
        </w:rPr>
        <w:t>4. Общие вопросы проектных, монтажных и пусконаладочных работ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</w:p>
    <w:p w:rsidR="00095971" w:rsidRPr="00D10F42" w:rsidRDefault="00095971" w:rsidP="0061005C">
      <w:pPr>
        <w:jc w:val="both"/>
        <w:rPr>
          <w:rFonts w:ascii="Times New Roman" w:hAnsi="Times New Roman"/>
          <w:i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4.1. Стадии проектирования и их содержание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Самые общие задачи по разработке согласованию, утверждению и составе проектной документации на строительство предприятий, зданий и сооружений изложены в (12).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Под проектированием системы охраны и безопасности в общем случае будем понимать – процесс создания прообраза предлагаемой или возможной системы охраны и безопасности (схем, чертежей и текстовой документации), необходимого для его последующей реализации на охраняемом объекте с учетом нормированных ограничений.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Процесс проектирования для объектов народного хозяйства, как правило, осуществляется в две стадии: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Первая стадия - предпроектная включает: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выбор объекта проектирования (вновь строящийся, реконструируемый или существующий, оборудуемый ТС ОПС);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обследование объекта и оформление акта обследования;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оформление договора на выполнение проектных работ, а при выполнение работ «под ключ» оформляется договор на выполнение монтажных и пусконаладочных работ;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разработка технического задания на проектирование в соответствии с нормативной документацией.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Вторая стадия проектных работ включает: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разработку и оформление рабочих чертежей;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оформление расчетно-пояснительной записки (РПЗ);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оформление рабочего проекта;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согласование и утверждение Заказчиком рабочего проекта.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</w:p>
    <w:p w:rsidR="00095971" w:rsidRPr="00D10F42" w:rsidRDefault="00095971" w:rsidP="0061005C">
      <w:pPr>
        <w:jc w:val="both"/>
        <w:rPr>
          <w:rFonts w:ascii="Times New Roman" w:hAnsi="Times New Roman"/>
          <w:i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4.2. Методика и содержание процесса обследования объекта и необходимые нормативные документы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В процессе выбора объекта необходимо с Заказчиком четко определить – объект будет сдаваться под вневедомственную или частную охранную структуру, так как это устанавливает особенности обследования и оборудования объекта ТС ОПС.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Для объектов, сдаваемых под вневедомственную охрану, разработана четкая процедура обследования и последующей разработки проекта и его согласования, которые в равной мере можно рекомендовать и для объектов частных охранных служб.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Следует заметить, что качество и содержание проекта в значительной степени зависит от качественного обследования. Поэтому следует придавать особое значение этапу предпроектных работ и выделять для их проведения наиболее опытных работников.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Обследование объекта проводится комиссией, назначаемой приказом или распоряжением Заказчика с учетом согласования представителей от УВО (ОВО), госпожнадзором и проектно-монтажной организации (ПМО).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До начала обследования Заказчик в соответствии с (14) должен предоставить ПМО необходимые чертежи для предварительного изучения. В первую очередь для проекта ТС ОПС необходимо получить следующие чертежи: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1. Строительные чертежи поэтажных планов с экспликацией всех помещений.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2. Чертежи разводки электросетей.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3. Чертежи прокладки вентиляционных коробов.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4. Чертеж вводного щита электропитания по переменному току.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Перед обследованием объекта члены комиссии должны изучить и руководствоваться нормативной документацией (13-21).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В процессе обследования в части охранной и охранно-пожарной сигнализации должны быть установлены и приняты решения в соответствии с нормативными требованиями, а именно: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установлена категория охраняемого объекта (16) и соответствие его инженерной укрепленности требованиям РД;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установлен необходимый перечень оборудования ТС ОПС для объекта;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определена рубежность охраны (один, два или три рубежа) в зависимости от материальных ценностей;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установлен тип охраны (централизованная, автономная);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- определены зоны формирования тревожных извещений объекта (количество тревожных извещений на ПЦН по группам контролируемых помещений-фасад, тыл, помещения 1 этажа и т.д.).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Заказчик обязан предоставить чертежи (в масштабе) строительных конструкций, подлежащих блокировке. Имеется ввиду чертежи однотипных дверей, окон, люков, перегородок и т.д. с указанием вида строительных материалов. Необходимо определить наличие фальшпотолков, фальшполов, типы и высоты потолков (гладкие, с ребрами жесткости и т.д.). Должна быть определена процедура сдачи объекта под охрану на ПЦН. Будет ли на объекте круглосуточный пост охраны или нет? При наличии такого поста должно быть предусмотрено в проекте выделение отдельного помещения согласно (19).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Устройство ТС ОПС по переменному току должны питаться от отдельной ячейки вводного щита. При этом ТС ОПС относят к 1-й категории электроприемников по надежности электроснабжения согласно ПУЭ, в силу чего их электроснабжение должно быть бесперебойным (22) – либо от двух независимых источников переменного тока, либо от одного источника переменного тока с автоматическим переключением в аварийном режиме на резервное питание от аккумуляторных батарей.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Если на объекте нет вводного щита, то необходимо выдать Заказчику ТЗ на оборудование вводного щита с указанием мощности потребления.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По результатам обследования оформляется акт обследования объекта, который является основанием для разработки ТЗ.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Требования по оборудованию объекта средствами пожарной сигнализации, систем оповещения и управления эвакуацией, а также автоматическими системами пожаротушения формируется инспекторами Госпожнадзора в процессе обследования в предписании Заказчику. Это предписание является основанием для Заказчика по разработке соответствующего ТЗ на проектирование.</w:t>
      </w:r>
    </w:p>
    <w:p w:rsidR="00095971" w:rsidRPr="00D10F42" w:rsidRDefault="00095971" w:rsidP="0061005C">
      <w:pPr>
        <w:jc w:val="both"/>
        <w:rPr>
          <w:rFonts w:ascii="Times New Roman" w:hAnsi="Times New Roman"/>
          <w:i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4.3. Состав и содержание рабочей документации и порядок её согласования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 xml:space="preserve">     Разработку рабочего проекта может выполнять организация, имеющая лицензию на право производства данного вида работ. В настоящие время изготовление рабочих чертежей, как правило, производится с помощью компьютера.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При выпуске чертежей и оформлении РПЗ необходимо руководствоваться нормативными документами (23,24,25). Последовательность работ по оформлению рабочих чертежей и РПЗ в следующем. Ответственный исполнитель проекта на заготовках чертежей поэтажных планов наносит в условных обозначениях расположение кабельных и проводных коммуникаций и оборудования ТС ОПС в соответствии с ТЗ. Заполненные таким образом черновики передаются оператору-чертежнику на компьютер для окончательного оформления в соответствии с (23,24,25).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Одновременно с оформлением рабочих чертежей составляется РПЗ. Исходя из опыта составляется РПЗ для проектов на объекты с ТС ОПС можно ориентироваться на приводимое ниже рекомендуемое содержание РПЗ.</w:t>
      </w:r>
    </w:p>
    <w:p w:rsidR="00095971" w:rsidRPr="00D10F42" w:rsidRDefault="00095971" w:rsidP="0061005C">
      <w:pPr>
        <w:jc w:val="both"/>
        <w:rPr>
          <w:rFonts w:ascii="Times New Roman" w:hAnsi="Times New Roman"/>
          <w:i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4.3.1. Рекомендуемое содержание РПЗ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1.</w:t>
      </w:r>
      <w:r w:rsidR="00D10F42">
        <w:rPr>
          <w:rFonts w:ascii="Times New Roman" w:hAnsi="Times New Roman"/>
          <w:i/>
          <w:sz w:val="24"/>
          <w:szCs w:val="24"/>
        </w:rPr>
        <w:t xml:space="preserve"> </w:t>
      </w:r>
      <w:r w:rsidRPr="00D10F42">
        <w:rPr>
          <w:rFonts w:ascii="Times New Roman" w:hAnsi="Times New Roman"/>
          <w:sz w:val="24"/>
          <w:szCs w:val="24"/>
        </w:rPr>
        <w:t>Общая часть. Содержит полное наименование объекта и проектируемых ТС ОПС. Наименование, адреса и реквизиты Исполнителя и Заказчика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2.</w:t>
      </w:r>
      <w:r w:rsidR="00D10F42">
        <w:rPr>
          <w:rFonts w:ascii="Times New Roman" w:hAnsi="Times New Roman"/>
          <w:sz w:val="24"/>
          <w:szCs w:val="24"/>
        </w:rPr>
        <w:t xml:space="preserve"> </w:t>
      </w:r>
      <w:r w:rsidRPr="00D10F42">
        <w:rPr>
          <w:rFonts w:ascii="Times New Roman" w:hAnsi="Times New Roman"/>
          <w:sz w:val="24"/>
          <w:szCs w:val="24"/>
        </w:rPr>
        <w:t>Перечень и характеристика защищаемых помещений.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3</w:t>
      </w:r>
      <w:r w:rsidR="00D10F42">
        <w:rPr>
          <w:rFonts w:ascii="Times New Roman" w:hAnsi="Times New Roman"/>
          <w:sz w:val="24"/>
          <w:szCs w:val="24"/>
        </w:rPr>
        <w:t xml:space="preserve">. </w:t>
      </w:r>
      <w:r w:rsidRPr="00D10F42">
        <w:rPr>
          <w:rFonts w:ascii="Times New Roman" w:hAnsi="Times New Roman"/>
          <w:sz w:val="24"/>
          <w:szCs w:val="24"/>
        </w:rPr>
        <w:t>Обоснование технических решений, принятых в проекте.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4.</w:t>
      </w:r>
      <w:r w:rsidRPr="00D10F42">
        <w:rPr>
          <w:rFonts w:ascii="Times New Roman" w:hAnsi="Times New Roman"/>
          <w:sz w:val="24"/>
          <w:szCs w:val="24"/>
        </w:rPr>
        <w:t xml:space="preserve"> Характеристика электропроводок ТС ОПС (типы, жильность, исполнение, сертификаты).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5.</w:t>
      </w:r>
      <w:r w:rsidRPr="00D10F42">
        <w:rPr>
          <w:rFonts w:ascii="Times New Roman" w:hAnsi="Times New Roman"/>
          <w:sz w:val="24"/>
          <w:szCs w:val="24"/>
        </w:rPr>
        <w:t xml:space="preserve"> Электропитание ТС ОПС.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Ответственный раздел в проекте. Дается характеристика электропитания по переменному току. Приводится расчет емкости аккумуляторных батарей на аварийное время (согласно (22) в дежурном режиме 24 часа, режим «Тревога» 3 часа). По согласованию комиссии может устанавливаться исходя из максимальных перерывов в электропитании для данного объекта по справке энергонадзора.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6.</w:t>
      </w:r>
      <w:r w:rsidRPr="00D10F42">
        <w:rPr>
          <w:rFonts w:ascii="Times New Roman" w:hAnsi="Times New Roman"/>
          <w:sz w:val="24"/>
          <w:szCs w:val="24"/>
        </w:rPr>
        <w:t xml:space="preserve"> Размещение оборудования ТС ОПС в пункте охраны.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Дается характеристика помещения пункта охраны и рекомендации по размещению оборудования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7</w:t>
      </w:r>
      <w:r w:rsidRPr="00D10F42">
        <w:rPr>
          <w:rFonts w:ascii="Times New Roman" w:hAnsi="Times New Roman"/>
          <w:sz w:val="24"/>
          <w:szCs w:val="24"/>
        </w:rPr>
        <w:t>. Заземление ТС ОПС.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Должны быть даны рекомендации по заземлению ТС ОПС в соответствии с требованиям паспортов, ТО и ТУ на оборудование и нормами на устройство заземлений.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8</w:t>
      </w:r>
      <w:r w:rsidRPr="00D10F42">
        <w:rPr>
          <w:rFonts w:ascii="Times New Roman" w:hAnsi="Times New Roman"/>
          <w:sz w:val="24"/>
          <w:szCs w:val="24"/>
        </w:rPr>
        <w:t>. Рекомендации по квалификации обслуживающего персонала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9.</w:t>
      </w:r>
      <w:r w:rsidRPr="00D10F42">
        <w:rPr>
          <w:rFonts w:ascii="Times New Roman" w:hAnsi="Times New Roman"/>
          <w:sz w:val="24"/>
          <w:szCs w:val="24"/>
        </w:rPr>
        <w:t xml:space="preserve"> Рекомендации по охране труда и технике безопасности</w:t>
      </w:r>
    </w:p>
    <w:p w:rsidR="00095971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10</w:t>
      </w:r>
      <w:r w:rsidRPr="00D10F42">
        <w:rPr>
          <w:rFonts w:ascii="Times New Roman" w:hAnsi="Times New Roman"/>
          <w:sz w:val="24"/>
          <w:szCs w:val="24"/>
        </w:rPr>
        <w:t>. Спецификация оборудования и материалов.</w:t>
      </w:r>
    </w:p>
    <w:p w:rsidR="00D10F42" w:rsidRPr="00D10F42" w:rsidRDefault="00D10F42" w:rsidP="00D10F42">
      <w:pPr>
        <w:jc w:val="both"/>
        <w:rPr>
          <w:rFonts w:ascii="Times New Roman" w:hAnsi="Times New Roman"/>
          <w:sz w:val="24"/>
          <w:szCs w:val="24"/>
        </w:rPr>
      </w:pPr>
    </w:p>
    <w:p w:rsidR="00095971" w:rsidRDefault="00095971" w:rsidP="0061005C">
      <w:pPr>
        <w:jc w:val="both"/>
        <w:rPr>
          <w:rFonts w:ascii="Times New Roman" w:hAnsi="Times New Roman"/>
          <w:i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4.3.2. Рекомендуемый состав рабочих чертежей</w:t>
      </w:r>
    </w:p>
    <w:p w:rsidR="00D10F42" w:rsidRPr="00D10F42" w:rsidRDefault="00D10F42" w:rsidP="0061005C">
      <w:pPr>
        <w:jc w:val="both"/>
        <w:rPr>
          <w:rFonts w:ascii="Times New Roman" w:hAnsi="Times New Roman"/>
          <w:i/>
          <w:sz w:val="24"/>
          <w:szCs w:val="24"/>
        </w:rPr>
      </w:pP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1. Общие данные. Приводится таблица ссылочных нормативных документов и таблица условных графических обозначений.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2. Схемы поэтажных соединений аппаратуры ТС ОПС (извещатели, ПКП, оборудование ТV, СКУД и т.д.)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3. Общая схема соединений. Топография кабельных и проводных линий в продольном разрезе объекта.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4. Схемы подлючения оборудования ТС ОПС (схемы клеммных колодок однотипного оборудования).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5. Схемы блокировки строительных конструкций (в маштабе чертежи однотипных строительных элементов с нанесением элементов блокировки и проводных соединений – двери, окна, люки, перегородки и т.д.)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6. Чертежи размещения оборудования ТС ОПС в пункте охраны. Если используете нестандартную мебель (столы, стойки и т.д. и нестандартный крепеж), то необходимо дать чертежи на их изготовление.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7. Таблица адресов кабельных и проводных соединений (кабельный журнал). При этом необходимо помнить, что одновременно должна быть подготовлена сметная документация на проект, которая вкладывается в рабочий проект.&lt;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Рабочий проект оформляется в количестве не менее трех экземпляров (может быть больше по желанию Заказчика или ОВО). Рабочий проект до его реализации на объекте должен быть согласован с подразделением ВО и при необходимости с Госпожнадзором.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После согласования проект должен быть утвержден Заказчиком и после утверждения передан монтажной организации для реализации.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</w:p>
    <w:p w:rsidR="00095971" w:rsidRPr="00D10F42" w:rsidRDefault="00095971" w:rsidP="00D10F42">
      <w:pPr>
        <w:jc w:val="both"/>
        <w:rPr>
          <w:rFonts w:ascii="Times New Roman" w:hAnsi="Times New Roman"/>
          <w:i/>
          <w:sz w:val="24"/>
          <w:szCs w:val="24"/>
        </w:rPr>
      </w:pPr>
      <w:r w:rsidRPr="00D10F42">
        <w:rPr>
          <w:rFonts w:ascii="Times New Roman" w:hAnsi="Times New Roman"/>
          <w:i/>
          <w:sz w:val="24"/>
          <w:szCs w:val="24"/>
        </w:rPr>
        <w:t>4.4. Основные требования при выполнении монтажных, пусконаладочных работ и сдача объекта в эксплуатацию</w:t>
      </w:r>
    </w:p>
    <w:p w:rsidR="00095971" w:rsidRPr="00D10F42" w:rsidRDefault="00095971" w:rsidP="0061005C">
      <w:pPr>
        <w:jc w:val="both"/>
        <w:rPr>
          <w:rFonts w:ascii="Times New Roman" w:hAnsi="Times New Roman"/>
          <w:i/>
          <w:sz w:val="24"/>
          <w:szCs w:val="24"/>
        </w:rPr>
      </w:pP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Рассмотрим основные требования в процессе реализации рабочего проекта.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Прежде всего, еще на этапе проектных работ ПМО должна подготовить для Заказчика, так называемое, строительно-монтажное задание. Согласно этого задания Заказчик по отдельному договору должен произвести необходимые подготовительные строительные работы по закладке, при необходимости, труб, выполнению штроб для последующей закладки проводов и кабелей, выемок в стенах для шкафов, оборудованию стояков и т.д.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Рекомендуется организовать входной контроль всего поступающего оборудования перед его установкой. В процессе выполнения монтажных работ необходимо составлять соответствующие акты, перечень которых дан в Приложении Пособия к РД 78.145-93, а так-же руководствоваться (26).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При необходимости для проведения пусконаладочных работ Заказчик заключает соответствующий договор со специализированной организацией.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После наладочных работ объект, как правило, ставится на «прогон» для проверки работоспособности в течение нескольких дней.</w:t>
      </w:r>
    </w:p>
    <w:p w:rsidR="00095971" w:rsidRPr="00D10F42" w:rsidRDefault="00095971" w:rsidP="00D10F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По завершении работ Заказчик назначает по согласованию сторон приемочную комиссию, которая принимает объект в эксплуатацию с оформлением соответствующих документов (18).</w:t>
      </w:r>
    </w:p>
    <w:p w:rsidR="00095971" w:rsidRDefault="00095971" w:rsidP="0061005C">
      <w:pPr>
        <w:jc w:val="both"/>
        <w:rPr>
          <w:rFonts w:ascii="Times New Roman" w:hAnsi="Times New Roman"/>
          <w:sz w:val="24"/>
          <w:szCs w:val="24"/>
        </w:rPr>
      </w:pPr>
    </w:p>
    <w:p w:rsidR="00D10F42" w:rsidRDefault="00D10F42" w:rsidP="0061005C">
      <w:pPr>
        <w:jc w:val="both"/>
        <w:rPr>
          <w:rFonts w:ascii="Times New Roman" w:hAnsi="Times New Roman"/>
          <w:sz w:val="24"/>
          <w:szCs w:val="24"/>
        </w:rPr>
      </w:pPr>
    </w:p>
    <w:p w:rsidR="00D10F42" w:rsidRDefault="00D10F42" w:rsidP="0061005C">
      <w:pPr>
        <w:jc w:val="both"/>
        <w:rPr>
          <w:rFonts w:ascii="Times New Roman" w:hAnsi="Times New Roman"/>
          <w:sz w:val="24"/>
          <w:szCs w:val="24"/>
        </w:rPr>
      </w:pPr>
    </w:p>
    <w:p w:rsidR="00D10F42" w:rsidRDefault="00D10F42" w:rsidP="0061005C">
      <w:pPr>
        <w:jc w:val="both"/>
        <w:rPr>
          <w:rFonts w:ascii="Times New Roman" w:hAnsi="Times New Roman"/>
          <w:sz w:val="24"/>
          <w:szCs w:val="24"/>
        </w:rPr>
      </w:pPr>
    </w:p>
    <w:p w:rsidR="00D10F42" w:rsidRPr="00D10F42" w:rsidRDefault="00D10F42" w:rsidP="0061005C">
      <w:pPr>
        <w:jc w:val="both"/>
        <w:rPr>
          <w:rFonts w:ascii="Times New Roman" w:hAnsi="Times New Roman"/>
          <w:sz w:val="24"/>
          <w:szCs w:val="24"/>
        </w:rPr>
      </w:pP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Литература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1. ГОСТ Р 50775-95 (МЭК 839-1-1-88). Системы тревожной сигнализации. Часть 1. Общие требования. Раздел 1. Общие положения.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2. РМ 78.36.003-99. Технические средства защиты. Словарь основных терминов и определений.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3. РМ 78.36.006-99. Технические средства охраны. Словарь основных терминов и определений.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4. РД 25.03.001-2002. Системы охраны и безопасности объектов. Термины и определения ТК 439»Средства автоматизации и системы управления «Госстандарт Р.Ф. Международная ассоциация «Системсервис»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5. ГОСТ Р 50776-95 (МЭК 839-1-4-89). Системы тревожной сигнализации. Часть 1. Общие требования. Раздел 4. Руководство по проектированию, монтажу и техническому обслуживанию.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6. ППБ 01-93**. Правила пожарной безопасности в Российской Федерации.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7. ГОСТ 26342-84. Средства охранной, пожарной и охранно-пожарной сигнализации. Типы, основные параметры и размеры.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8. ГОСТ Р 51241 - 98. Средства и системы контроля и управления доступом. Классификация. Общие технические требования. Методы испытаний.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9. ГОСТ Р 51558-2000. Системы охранные телевизионные. Общие технические требования и методы испытаний.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10. П 78.36.001-2004. Перечень технических средств, разрешенных к применению во вневедомственной охране в 2004 году (обновляется ежегодно)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11. Каталог технических средств безопасности (Часть 1, Часть 2) ГУВО МВД России.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12. Сн и П 11-01-95. Инструкция о порядке разработки, согласования, утверждения и составе проектной документации на строительство предприятий, зданий и сооружений.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13. РМ 78.36.002-99. Порядок обследования объектов, принимаемых под охрану. Методическое пособие ГУВО МВД РФ.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14. РД 25 952-90. Системы автоматического пожаротушения, пожарной, охранной и охранно-пожарной сигнализации. Порядок разработки задания на проектирование.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15. Основные требования к проектированию автоматизированных комплексных систем безопасности и жизнеобеспечения. Учебно-справочное пособие. Университет КСБ и ИО.М., 2002 г.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16. РД 78.36.003-2002. Инженерно-техническая укрепленность, технические средства охраны. Требования и нормы проектирования по защите объектов от преступных посягательств.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17. РД 78.145-93. Системы и комплексы охранной, пожарной и охранно-пожарной сигнализации. Правила производства и приемки работ.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18. Пособие к РД 78.145-93.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19. НПБ 88-2001?.Установки пожаротушения и сигнализации. Нормы и правила проектирования.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20. НПБ 110-03.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21. НПБ 104-03. Системы оповещения и управления эвакуацией людей при пожарах в зданиях и сооружениях.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22. Справочник инженерно-технических работников и электромонтеров технических средств охранно-пожарной сигнализации. Утв. ГУВО МВД России 24.12.96 г.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23. ГОСТ 21.101-97. Основные требования к проектной и рабочей документации.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24. РД 78.36.002-99. Технические средства систем безопасности объектов. Обозначения условные графические элементов систем.</w:t>
      </w:r>
    </w:p>
    <w:p w:rsidR="00095971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25. РД 25.953-90. Системы автоматические пожаротушения, пожарной и охранно-пожарной сигнализации. Обозначения условные графические элементов связи.</w:t>
      </w:r>
    </w:p>
    <w:p w:rsidR="00D01A99" w:rsidRPr="00D10F42" w:rsidRDefault="00095971" w:rsidP="0061005C">
      <w:pPr>
        <w:jc w:val="both"/>
        <w:rPr>
          <w:rFonts w:ascii="Times New Roman" w:hAnsi="Times New Roman"/>
          <w:sz w:val="24"/>
          <w:szCs w:val="24"/>
        </w:rPr>
      </w:pPr>
      <w:r w:rsidRPr="00D10F42">
        <w:rPr>
          <w:rFonts w:ascii="Times New Roman" w:hAnsi="Times New Roman"/>
          <w:sz w:val="24"/>
          <w:szCs w:val="24"/>
        </w:rPr>
        <w:t>26. Автоматические системы пожаротушения и пожарной сигнализации. Правила приемки и контроля. Методические рекомендации ВНИИПО, М.1999г.</w:t>
      </w:r>
      <w:bookmarkStart w:id="0" w:name="_GoBack"/>
      <w:bookmarkEnd w:id="0"/>
    </w:p>
    <w:sectPr w:rsidR="00D01A99" w:rsidRPr="00D10F42" w:rsidSect="00D0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971"/>
    <w:rsid w:val="00034055"/>
    <w:rsid w:val="00095971"/>
    <w:rsid w:val="003344C7"/>
    <w:rsid w:val="0061005C"/>
    <w:rsid w:val="00832CED"/>
    <w:rsid w:val="00D01A99"/>
    <w:rsid w:val="00D1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EA058-7B12-4D29-8A1E-8DDF9BAE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FralOFF</dc:creator>
  <cp:keywords/>
  <cp:lastModifiedBy>Irina</cp:lastModifiedBy>
  <cp:revision>2</cp:revision>
  <dcterms:created xsi:type="dcterms:W3CDTF">2014-08-13T08:29:00Z</dcterms:created>
  <dcterms:modified xsi:type="dcterms:W3CDTF">2014-08-13T08:29:00Z</dcterms:modified>
</cp:coreProperties>
</file>