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70" w:rsidRDefault="00187370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</w:p>
    <w:p w:rsidR="00187370" w:rsidRDefault="00187370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</w:p>
    <w:p w:rsidR="00187370" w:rsidRDefault="00187370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</w:p>
    <w:p w:rsidR="00187370" w:rsidRDefault="00187370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</w:p>
    <w:p w:rsidR="00187370" w:rsidRDefault="00187370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</w:p>
    <w:p w:rsidR="00187370" w:rsidRDefault="00187370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</w:p>
    <w:p w:rsidR="00187370" w:rsidRDefault="00187370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>СОДЕРЖАНИЕ:</w:t>
      </w:r>
    </w:p>
    <w:p w:rsidR="00187370" w:rsidRDefault="0018737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>Сертификация продовольственных товаров</w:t>
      </w:r>
    </w:p>
    <w:p w:rsidR="00187370" w:rsidRDefault="0018737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>Объекты метрологии</w:t>
      </w:r>
    </w:p>
    <w:p w:rsidR="00187370" w:rsidRDefault="0018737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>Практическое задание</w:t>
      </w:r>
    </w:p>
    <w:p w:rsidR="00187370" w:rsidRDefault="00187370">
      <w:pPr>
        <w:tabs>
          <w:tab w:val="num" w:pos="36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>Список литературы</w:t>
      </w:r>
    </w:p>
    <w:p w:rsidR="00187370" w:rsidRDefault="00187370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sectPr w:rsidR="00187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1. Сертификация продовольственных товаров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Сертификация продукции (далее — сертификация) — процедура подтверждения соответствия, посредством ко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торой независимая от изготовителя (продавца, исполните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ля) и потребителя (покупателя) организация удостоверяет в письменной форме, что продукция соответствует уста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новленным требованиям.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Сертификация осуществляется в целях: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создания условий для деятельности организаций и предпринимателей на едином товарном рынке Россий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ской Федерации, а также для участия в международном экономическом, научно-техническом сотрудничестве и международной торговле (в ред. Федерального закона от 31.07.98 № 154-ФЗ);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содействия потребителям в компетентном выборе про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дукции;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зашиты потребителя от недобросовестности изгото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вителя (продавца, исполнителя);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контроля безопасности продукции для окружающей среды, жизни, здоровья и имущества;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подтверждения показателей качества продукции, за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явленных изготовителем.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Сертификация в России осуществляется на следующих принципах: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</w:r>
    </w:p>
    <w:p w:rsidR="00187370" w:rsidRDefault="00187370">
      <w:pPr>
        <w:spacing w:line="360" w:lineRule="auto"/>
        <w:ind w:left="28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>обеспечение достоверности информации об объекте сертификации;</w:t>
      </w:r>
    </w:p>
    <w:p w:rsidR="00187370" w:rsidRDefault="00187370">
      <w:pPr>
        <w:spacing w:line="360" w:lineRule="auto"/>
        <w:ind w:left="28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>объективность и независимость от изготовителя и потребителя;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</w:r>
    </w:p>
    <w:p w:rsidR="00187370" w:rsidRDefault="00187370">
      <w:pPr>
        <w:spacing w:line="360" w:lineRule="auto"/>
        <w:ind w:left="28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>профессиональность испытаний;</w:t>
      </w:r>
    </w:p>
    <w:p w:rsidR="00187370" w:rsidRDefault="00187370">
      <w:pPr>
        <w:spacing w:line="360" w:lineRule="auto"/>
        <w:ind w:left="28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>исключение дискриминации по отношению к иностранным заявителям;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право заявителя выбирать орган по сертификации и                      испытательную лабора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 xml:space="preserve">торию; ответственность участников сертификации;           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• открытость информации о результатах сертификации или о     прекращении срока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>(отмене) сертификата (знака) соответствия;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• многообразие методов испытаний с учетом особенностей объекта сертификации,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>его производства и потребления;</w:t>
      </w:r>
    </w:p>
    <w:p w:rsidR="00187370" w:rsidRDefault="00187370">
      <w:pPr>
        <w:spacing w:line="360" w:lineRule="auto"/>
        <w:ind w:left="28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использование в деятельности по сертификации   рекомендаций и правил ИСО/МЭК, региональных организаций, положений международных стан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дартов и других международных документов;</w:t>
      </w:r>
    </w:p>
    <w:p w:rsidR="00187370" w:rsidRDefault="00187370">
      <w:pPr>
        <w:spacing w:line="360" w:lineRule="auto"/>
        <w:ind w:left="28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признание аккредитации зарубежных органов по сертификации и испыта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тельных лабораторий, сертификатов и знаков соответствия в РФ на основе многосторонних и двусторонних соглашений, в которых участвует Россия,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соблюдение конфиденциальности информации, составляющей коммерческую тайну;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привлечение в необходимых случаях к работам по сертификации обществ потребителей.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На выполнение указанных выше целей и соблюдение принципов направле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ны правила и порядок сертификации, утвержденные Госстандартом РФ.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Порядок проведения сертификации в России установлен Постановлением Гос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стандарта РФ в 1998 г.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footnoteReference w:id="1"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по отношению к обязательной сертификации (в том чис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ле и импортируемой продукции), но может применяться и при добровольной сер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тификации. Для систем сертификации однородной продукции с учетом ее особен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ностей допускается разработка соответствующего порядка.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Порядок разъясняет, какие характеристики продукции проверяются, по ка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ким критериям выбираются схемы сертификации, каким требованиям должны отвечать нормативные документы на сертифицируемую продукцию, в какой по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следовательности осуществляются соответствующие процедуры сертификациия в чем их сущность,                                                      Общие принципы порядка сертификации соответствуют Руководствам ИСО/МЭК по данному вопросу.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Организуют сертификацию Госстандарт РФ и федеральные органы, на которые возложена ответственность за обязательную сертификацию. Непосредственную работу по сертификации ведут аккредитован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ные органы по сертификации и испытательные лаборатории. В России действует около 680 органов по сертификации и около 1830 лабораторий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footnoteReference w:id="2"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Характеристики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footnoteReference w:id="3"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товара, которые проверяются при сертификации, выбира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ются с учетом следующих основных критериев: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они должны позволить идентифицировать продукцию (проверять принад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лежность к группе классификатора, ее происхождение, принадлежность к определенной производственной партии и т.п.). Немаловажно при этом ус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тановить соответствие продукции приложенной технической документации;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отбираемые характеристики должны полно и достоверно подтвердить нормы безопасности, экологичности, установленные в нормативных документах на эту продукцию;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могут потребоваться и такие характеристики, которые отражают другие тре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бования, подлежащие обязательной сертификации в соответствии с законо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дательными актами. Совокупность других проверяемых показателей опреде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ляется исходя из целей сертификации конкретной продукции. При выборе схемы сертификации  учитываются особенности про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изводства, испытаний, поставки и применения конкретной продукции, требуемый уровень доказательности, необходимые затраты заявителя. Определяется схема обязательной сертификации Госстандартом РФ и другими государственными ор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ганами, на которые возложено руководство сертификацией.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Схему добровольной сертификации выбирает заявитель и предлагает ее органу по сертификации.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Порядок проведения сертификации устанавливает последовательность действий, составляющих совокупную процедуру сертификации.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а) Подача заявки на сертификацию.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Заявитель направляет заявку в соот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ветствующий орган по сертификации, а при его отсутствии — в Госстандарт РФ или другой государственный орган управления. Орган по сертификации рассмат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ривает заявку в установленный порядком сертификации однородной продукции срок (в среднем один месяц) и сообщает заявителю решение, которое в числе различных сведений, необходимых заявителю, указывает, какие органы и испы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тательные лаборатории может выбрать заявитель.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б) Отбор, идентификация образцов и их испытания.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Образцы для испыта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ний отбирает, как правило, испытательная лаборатория или другая организация по ее поручению. В отдельных случаях этим занимается орган по сертификации. Образцы, прошедшие испытания, хранятся в течение срока, предусмотренного правилами системы сертификации конкретной продукции. Протоколы испытаний представляются заявителю и в орган по сертификации, их хранение соответствует сроку действия сертификата.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в) оценка производства.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 зависимости от выбранной схемы сертификации проводится анализ состояния производства, сертификация производства либо сертификация системы управления качеством. Метод оценки производства ука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зывается в сертификате соответствия продукции.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г) Выдача сертификата соответствия.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Протоколы испытаний, результаты оценки производства, другие документы о соответствии продукции, поступившие в орган по сертификации, подвергаются анализу для окончательного заключения о соответствии продукции заданным требованиям.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 результатам оценки составляется заключение эксперта. Это главный до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кумент, на основании которого орган по сертификации принимает решение о выдаче сертификата соответствия. При положительном решении оформляется сертификат (см. Приложение)  в котором указаны основания для его выдачи и регистрационный номер, без кото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рого сертификат недействителен.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Если заключение эксперта отрицательное, орган по сертификации выдает заявителю решение об отказе с указанием причин.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Сертификат на такие виды продукции, на которые распространяются особые требования в области безопасности (например, санитарные, ветеринарные и т.п.), выдается только при наличии гигиенического, ветеринарного, фитосанитарного и других специальных сертификатов, доказывающих их безвредность и другие спе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цифические качества. Средства измерений до получения сертификата соответствия должны пройти государственный метрологический контроль и поверку. Эти по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ложения относятся как к отечественной, так и импортируемой продукции.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Срок действия сертификата соответствия устанавливает орган по сертифика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ции, но не более трех лет. Как правило, трехлетний срок действия имеют серти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фикаты, если применялась 5 или 6 схема сертификации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footnoteReference w:id="4"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Информация о том, что продукт сертифицирован, содержится в технической (техпаспорт, этикетка и пр.) и в товаросопроводительной документации.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д) Применение знака соответствия.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Изготовитель получает право марки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ровки сертифицированной продукции знаком соответствия, получив лицензию от органа по сертификации. Обычно в каждой системе принят свой знак.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е) Инспекционный контроль за сертифицированной продукцией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проводится, если это предусмотрено схемой сертификации, в течение всего срока действия сертификата и лицензии на применение знака соответствия (не реже одного раза в год). Форма контроля — периодические и внеплановые проверки с испытанием образцов для доказательства того, что производимая продукция продолжает соот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ветствовать требованиям, подтвержденным сертификацией.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Степень сложности и строгости инспекционного контроля зависит от уровня потенциальной опасности продукции, стабильности производства, объема выпуска, наличия системы обеспечения качества и других факторов.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Внеплановые проверки назначаются органом по сертификации в случаях посту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пления информации о претензиях к качеству продукции от потребителей, торговых организаций и контролирующих органов.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Результаты инспекционного контроля оформляются актом, который хранится в органе по сертификации. Этот орган имеет право по результатам контроля при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остановить или отменить действие сертификата и лицензии на применение знака соответствия. Приостановление действия сертификата и знака возможно в таких ситуациях, когда изготовитель продукции, по согласованию с органом по сертификации, может принять корректирующие меры и снова представить образец продукции на подтверждение его соответствия, если это возможно без повторных испытаний. В противном случае действие сертификата и лицензии отменяется.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ж) Корректирующие мероприятия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назначаются в случаях нарушения соответствия продукции установленным требованиям и правил применения знака соответствия.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Мероприятия назначает орган по сертификации, который приостанавливает действие сертификата и лицензии на, использование знака соответствия, о чем информируются заинтересованные участники сертификации. Далее орган устанавливает срок выполнения корректирующих мероприятий и контролирует их проведение изготовителем. Изготовитель в такой ситуации обязан уведомить потребителей и все заинтересованные организации об опасности пользования продукции. Если корректирующие мероприятия привели к положительным результатам, орган по сертификации обязует изготовителя применять другую маркировку изделия, о чем информируются участники сертификации. При невыполнении или неэффективности корректирующих мер сертификат и лицензия на знак соответствия аннулируются.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Обязательная сертификация в России, как и в зарубежных странах, распростра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няется прежде всего на потребительские товары и подтверждает их безопасность и экологичность. Как уже отмечалось выше, продукция, подлежащая обязатель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ной сертификации, включается в официальный перечень, который является важ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ным документом для всех заинтересованных в сертификации: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потребители рассматривают перечень как источник информации о гарантии своих прав на приобретение безопасных товаров, на выбор их среди аналогов, находящихся в продаже;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торговые организации;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• получают возможность обоснованного выбора при размещении заказов;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изготовители, ориентируясь на перечень, могут своевременно подготовиться к проведению сертификации на своем предприятии;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таможенные органы получают сведения об объектах обязательного контроля при ввозе товаров на территорию РФ;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сертификационные органы вместе с номенклатурой товаров получают воз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можность своевременного обеспечения своего фонда нормативных документов необходимыми стандартами;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контролирующие органы могут подготовиться к инспекционному контролю сертифицированной продукции, составить планы и графики работ;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• технические комитеты по стандартизации благодаря этой инфор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мации определяют объекты для стандартизации методов испытаний и уста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новления обязательных для сертификации требований на конкретные виды продукции.</w:t>
      </w:r>
    </w:p>
    <w:p w:rsidR="00187370" w:rsidRDefault="00187370">
      <w:pPr>
        <w:pStyle w:val="a6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Закона "О защите прав потребителей" Госстандарт РФ как  национальный орган по сертификации потребительских товаров установил номенклатуру товаров, которые подлежат обязательной сертификации, и включил в нее более  70 видов продукции и некоторые виды услуг. Среди них: сельскохозяйственная и  пищевая продукция; товары бытовой химии; изделия текстильной и легкой промышленности; электробытовые приборы и радиоэлектронная аппаратура; медицинская техника и приборы; автотранспортные средства; спортивное и охот</w:t>
      </w:r>
      <w:r>
        <w:rPr>
          <w:rFonts w:ascii="Times New Roman" w:hAnsi="Times New Roman" w:cs="Times New Roman"/>
        </w:rPr>
        <w:softHyphen/>
        <w:t>ничье оружие; бытовые нагревательные устройства; бытовая техника.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 качестве критериев для включения товара в этот перечень были выбраны: потенциальная опасность для пользователя; наличие требований безопасности в нормативном документе на товар; массовость потребления; степень угрозы жизни и здоровью человека и др. Перечень ежегодно обновляется и дополняется по мере принятия новых законодательных актов в области охраны здоровья и защиты инте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oftHyphen/>
        <w:t>ресов потребителей. Изменения в перечень могут быть внесены и другими органами государственного управления, уполномоченными создавать системы сертификации. На основании их предложений Госстандарт как координирующий обязательную сертификацию и проводящий государственную политику в этой области составляет сводный перечень продукции, подлежащей обязательной сертификации.</w:t>
      </w:r>
    </w:p>
    <w:p w:rsidR="00187370" w:rsidRDefault="00187370">
      <w:pPr>
        <w:pStyle w:val="a6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распространяется и на импортируемую продукцию, о чем проинфор</w:t>
      </w:r>
      <w:r>
        <w:rPr>
          <w:rFonts w:ascii="Times New Roman" w:hAnsi="Times New Roman" w:cs="Times New Roman"/>
        </w:rPr>
        <w:softHyphen/>
        <w:t>мированы по соответствующим каналам официальные органы зарубежных стран.</w:t>
      </w:r>
    </w:p>
    <w:p w:rsidR="00187370" w:rsidRDefault="00187370">
      <w:pPr>
        <w:pStyle w:val="2"/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Товароведная классификация продовольственных товаров::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Хлебобулочные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Плодоовощные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Кондитерские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Вино-водочные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Молочно-масляные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Мясные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Рыбные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Яичные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Пищевые жиры</w:t>
      </w:r>
    </w:p>
    <w:p w:rsidR="00187370" w:rsidRDefault="00187370">
      <w:pPr>
        <w:pStyle w:val="2"/>
        <w:numPr>
          <w:ilvl w:val="0"/>
          <w:numId w:val="3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Табачные изделия</w:t>
      </w:r>
    </w:p>
    <w:p w:rsidR="00187370" w:rsidRDefault="00187370">
      <w:pPr>
        <w:pStyle w:val="2"/>
        <w:tabs>
          <w:tab w:val="left" w:pos="142"/>
          <w:tab w:val="left" w:pos="284"/>
        </w:tabs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товары также делятся на:</w:t>
      </w:r>
    </w:p>
    <w:p w:rsidR="00187370" w:rsidRDefault="00187370">
      <w:pPr>
        <w:pStyle w:val="2"/>
        <w:numPr>
          <w:ilvl w:val="0"/>
          <w:numId w:val="4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Бакалейные </w:t>
      </w:r>
      <w:r>
        <w:rPr>
          <w:rFonts w:ascii="Times New Roman" w:hAnsi="Times New Roman" w:cs="Times New Roman"/>
        </w:rPr>
        <w:t>(сыпучие, которые расфасовываются и их необходимо взвешивать в сыпучем состоянии) – мука, крупы, кофе, чай, пряности, сухофрукты, овощи</w:t>
      </w:r>
    </w:p>
    <w:p w:rsidR="00187370" w:rsidRDefault="00187370">
      <w:pPr>
        <w:pStyle w:val="2"/>
        <w:numPr>
          <w:ilvl w:val="0"/>
          <w:numId w:val="4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Гастрономические</w:t>
      </w:r>
    </w:p>
    <w:p w:rsidR="00187370" w:rsidRDefault="00187370">
      <w:pPr>
        <w:pStyle w:val="2"/>
        <w:numPr>
          <w:ilvl w:val="1"/>
          <w:numId w:val="4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мясо, рыба сыр</w:t>
      </w:r>
    </w:p>
    <w:p w:rsidR="00187370" w:rsidRDefault="00187370">
      <w:pPr>
        <w:pStyle w:val="2"/>
        <w:numPr>
          <w:ilvl w:val="1"/>
          <w:numId w:val="4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кулинария, копчености</w:t>
      </w:r>
    </w:p>
    <w:p w:rsidR="00187370" w:rsidRDefault="00187370">
      <w:pPr>
        <w:pStyle w:val="2"/>
        <w:numPr>
          <w:ilvl w:val="1"/>
          <w:numId w:val="4"/>
        </w:numPr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жидкие товары</w:t>
      </w:r>
    </w:p>
    <w:p w:rsidR="00187370" w:rsidRDefault="00187370">
      <w:pPr>
        <w:pStyle w:val="2"/>
        <w:tabs>
          <w:tab w:val="left" w:pos="142"/>
          <w:tab w:val="left" w:pos="28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группы товаров различаются условиями хранения и видом отпуска продукции.</w:t>
      </w:r>
    </w:p>
    <w:p w:rsidR="00187370" w:rsidRDefault="0018737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Потребительские свойства представляют собой совокупность физических, химических, биохимических и других природных свойств, а также свойств,  которые  человек придает товарам в процессе производства и хранения. 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Таким образом, совокупность потребительских свойств продовольственного товара, как объекта коммерческой деятельности, имеет смысл прежде всего как способность удовлетворить нужды потребителя и повлиять на его решение о покупке того или иного товара.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 основным потребительским свойствам продовольственных товаров относятся:</w:t>
      </w:r>
    </w:p>
    <w:p w:rsidR="00187370" w:rsidRDefault="00187370">
      <w:pPr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пищевая ценность – свойство, которое характеризует всю полноту ценных свойств продукта: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доброкачественность, 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содержание питательных веществ биологически активных веществ (мясо, яйцо, молоко) 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калорийность</w:t>
      </w:r>
    </w:p>
    <w:p w:rsidR="00187370" w:rsidRDefault="00187370">
      <w:pPr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биологическая ценность – определяется содержанием в продукте биологически ценных веществ: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витамины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микро- и макроэлементы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полинасыщенные аминокислоты, которые способствуют росту, жизнедеятельности человека</w:t>
      </w:r>
    </w:p>
    <w:p w:rsidR="00187370" w:rsidRDefault="00187370">
      <w:pPr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физиологическая ценность – определяется способностью продукта оказывать влияние на различные физиологические системы организма </w:t>
      </w:r>
    </w:p>
    <w:p w:rsidR="00187370" w:rsidRDefault="00187370">
      <w:pPr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энергетическая ценность – свойство товара, которое определяется содержанием в них веществ для расщепления и получения необходимой Е для жизнедеятельности: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белки 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жиры 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углеводы </w:t>
      </w:r>
    </w:p>
    <w:p w:rsidR="00187370" w:rsidRDefault="00187370">
      <w:pPr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усвояемость – способность товара расщепляться и усваиваться организмом в той или иной степени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зависит от вида, вкуса, аромата, консистенции, количества питательных веществ изделия, состояния организма, привычек, вкусов и условий питания</w:t>
      </w:r>
    </w:p>
    <w:p w:rsidR="00187370" w:rsidRDefault="00187370">
      <w:pPr>
        <w:numPr>
          <w:ilvl w:val="2"/>
          <w:numId w:val="2"/>
        </w:numPr>
        <w:tabs>
          <w:tab w:val="left" w:pos="142"/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лучше всего усваиваются углеводы, жиры и белки.</w:t>
      </w:r>
    </w:p>
    <w:p w:rsidR="00187370" w:rsidRDefault="00187370">
      <w:pPr>
        <w:spacing w:line="360" w:lineRule="auto"/>
        <w:ind w:left="454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 частности, рассмотрим перечень показателей, подвергающихся анализу в процессе сертификации алкогольных напитков:</w:t>
      </w:r>
    </w:p>
    <w:p w:rsidR="00187370" w:rsidRDefault="00187370">
      <w:pPr>
        <w:numPr>
          <w:ilvl w:val="0"/>
          <w:numId w:val="5"/>
        </w:numPr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энергетическая ценность. В частности, средние показатели пищевой 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энергетической ценности водки в соответствии с ГОСТ Р 51355 – 99 «Водки и водки особые. Технические условия» приведены в табл.1.1.</w:t>
      </w:r>
    </w:p>
    <w:p w:rsidR="00187370" w:rsidRDefault="00187370">
      <w:pPr>
        <w:spacing w:line="360" w:lineRule="auto"/>
        <w:ind w:left="0"/>
        <w:jc w:val="right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br w:type="page"/>
        <w:t>Таблица 1.1.</w:t>
      </w:r>
    </w:p>
    <w:p w:rsidR="00187370" w:rsidRDefault="00187370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Пищевая энергетическая ценность водки</w:t>
      </w:r>
    </w:p>
    <w:tbl>
      <w:tblPr>
        <w:tblW w:w="5095" w:type="pc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26"/>
        <w:gridCol w:w="366"/>
        <w:gridCol w:w="536"/>
        <w:gridCol w:w="476"/>
        <w:gridCol w:w="433"/>
        <w:gridCol w:w="605"/>
        <w:gridCol w:w="495"/>
        <w:gridCol w:w="495"/>
        <w:gridCol w:w="495"/>
        <w:gridCol w:w="495"/>
        <w:gridCol w:w="661"/>
        <w:gridCol w:w="330"/>
        <w:gridCol w:w="495"/>
        <w:gridCol w:w="495"/>
        <w:gridCol w:w="495"/>
        <w:gridCol w:w="495"/>
        <w:gridCol w:w="332"/>
        <w:gridCol w:w="827"/>
      </w:tblGrid>
      <w:tr w:rsidR="00187370" w:rsidRPr="00187370">
        <w:trPr>
          <w:cantSplit/>
          <w:trHeight w:val="140"/>
        </w:trPr>
        <w:tc>
          <w:tcPr>
            <w:tcW w:w="410" w:type="pct"/>
            <w:vMerge w:val="restart"/>
            <w:tcBorders>
              <w:top w:val="nil"/>
              <w:left w:val="nil"/>
            </w:tcBorders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145" w:type="pct"/>
            <w:gridSpan w:val="5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Содержание, г.</w:t>
            </w:r>
          </w:p>
        </w:tc>
        <w:tc>
          <w:tcPr>
            <w:tcW w:w="564" w:type="pct"/>
            <w:gridSpan w:val="2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Алкоголь</w:t>
            </w:r>
          </w:p>
        </w:tc>
        <w:tc>
          <w:tcPr>
            <w:tcW w:w="2456" w:type="pct"/>
            <w:gridSpan w:val="10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Содержание, мг.</w:t>
            </w:r>
          </w:p>
        </w:tc>
        <w:tc>
          <w:tcPr>
            <w:tcW w:w="424" w:type="pct"/>
            <w:vMerge w:val="restar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Энергетическая ценность, ккал</w:t>
            </w:r>
          </w:p>
        </w:tc>
      </w:tr>
      <w:tr w:rsidR="00187370" w:rsidRPr="00187370">
        <w:trPr>
          <w:cantSplit/>
          <w:trHeight w:val="140"/>
        </w:trPr>
        <w:tc>
          <w:tcPr>
            <w:tcW w:w="410" w:type="pct"/>
            <w:vMerge/>
            <w:tcBorders>
              <w:left w:val="nil"/>
            </w:tcBorders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vMerge w:val="restar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187" w:type="pct"/>
            <w:vMerge w:val="restar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275" w:type="pct"/>
            <w:vMerge w:val="restar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244" w:type="pct"/>
            <w:vMerge w:val="restar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Зола</w:t>
            </w:r>
          </w:p>
        </w:tc>
        <w:tc>
          <w:tcPr>
            <w:tcW w:w="222" w:type="pct"/>
            <w:vMerge w:val="restar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Орган.вещ</w:t>
            </w:r>
          </w:p>
        </w:tc>
        <w:tc>
          <w:tcPr>
            <w:tcW w:w="310" w:type="pct"/>
            <w:vMerge w:val="restar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мас.%</w:t>
            </w:r>
          </w:p>
        </w:tc>
        <w:tc>
          <w:tcPr>
            <w:tcW w:w="254" w:type="pct"/>
            <w:vMerge w:val="restar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об.%</w:t>
            </w:r>
          </w:p>
        </w:tc>
        <w:tc>
          <w:tcPr>
            <w:tcW w:w="1524" w:type="pct"/>
            <w:gridSpan w:val="6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Минеральные вещества</w:t>
            </w:r>
          </w:p>
        </w:tc>
        <w:tc>
          <w:tcPr>
            <w:tcW w:w="932" w:type="pct"/>
            <w:gridSpan w:val="4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витамины</w:t>
            </w:r>
          </w:p>
        </w:tc>
        <w:tc>
          <w:tcPr>
            <w:tcW w:w="424" w:type="pct"/>
            <w:vMerge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187370" w:rsidRPr="00187370">
        <w:trPr>
          <w:cantSplit/>
          <w:trHeight w:val="1134"/>
        </w:trPr>
        <w:tc>
          <w:tcPr>
            <w:tcW w:w="410" w:type="pct"/>
            <w:vMerge/>
            <w:tcBorders>
              <w:left w:val="nil"/>
            </w:tcBorders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vMerge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7" w:type="pct"/>
            <w:vMerge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  <w:vMerge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44" w:type="pct"/>
            <w:vMerge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Merge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310" w:type="pct"/>
            <w:vMerge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vMerge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</w:t>
            </w:r>
          </w:p>
        </w:tc>
        <w:tc>
          <w:tcPr>
            <w:tcW w:w="254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K</w:t>
            </w:r>
          </w:p>
        </w:tc>
        <w:tc>
          <w:tcPr>
            <w:tcW w:w="254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Ca</w:t>
            </w:r>
          </w:p>
        </w:tc>
        <w:tc>
          <w:tcPr>
            <w:tcW w:w="339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Mg</w:t>
            </w:r>
          </w:p>
        </w:tc>
        <w:tc>
          <w:tcPr>
            <w:tcW w:w="169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</w:t>
            </w:r>
          </w:p>
        </w:tc>
        <w:tc>
          <w:tcPr>
            <w:tcW w:w="254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Fe</w:t>
            </w:r>
          </w:p>
        </w:tc>
        <w:tc>
          <w:tcPr>
            <w:tcW w:w="254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</w:t>
            </w: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54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</w:t>
            </w: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4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PP</w:t>
            </w:r>
          </w:p>
        </w:tc>
        <w:tc>
          <w:tcPr>
            <w:tcW w:w="169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424" w:type="pct"/>
            <w:vMerge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187370" w:rsidRPr="00187370">
        <w:trPr>
          <w:cantSplit/>
          <w:trHeight w:val="1134"/>
        </w:trPr>
        <w:tc>
          <w:tcPr>
            <w:tcW w:w="410" w:type="pct"/>
          </w:tcPr>
          <w:p w:rsidR="00187370" w:rsidRPr="00187370" w:rsidRDefault="00187370">
            <w:pPr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Водка</w:t>
            </w:r>
          </w:p>
        </w:tc>
        <w:tc>
          <w:tcPr>
            <w:tcW w:w="218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66,2</w:t>
            </w:r>
          </w:p>
        </w:tc>
        <w:tc>
          <w:tcPr>
            <w:tcW w:w="187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275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0,1</w:t>
            </w:r>
          </w:p>
        </w:tc>
        <w:tc>
          <w:tcPr>
            <w:tcW w:w="24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сл.</w:t>
            </w:r>
          </w:p>
        </w:tc>
        <w:tc>
          <w:tcPr>
            <w:tcW w:w="222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0,3</w:t>
            </w:r>
          </w:p>
        </w:tc>
        <w:tc>
          <w:tcPr>
            <w:tcW w:w="310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25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25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сл.</w:t>
            </w:r>
          </w:p>
        </w:tc>
        <w:tc>
          <w:tcPr>
            <w:tcW w:w="25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0,3</w:t>
            </w:r>
          </w:p>
        </w:tc>
        <w:tc>
          <w:tcPr>
            <w:tcW w:w="339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сл.</w:t>
            </w:r>
          </w:p>
        </w:tc>
        <w:tc>
          <w:tcPr>
            <w:tcW w:w="169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25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сл.</w:t>
            </w:r>
          </w:p>
        </w:tc>
        <w:tc>
          <w:tcPr>
            <w:tcW w:w="25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25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25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24" w:type="pct"/>
            <w:textDirection w:val="btLr"/>
          </w:tcPr>
          <w:p w:rsidR="00187370" w:rsidRPr="00187370" w:rsidRDefault="00187370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235</w:t>
            </w:r>
          </w:p>
        </w:tc>
      </w:tr>
    </w:tbl>
    <w:p w:rsidR="00187370" w:rsidRDefault="00187370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187370" w:rsidRDefault="00187370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биологическая ценность. В алкогольных напитках аминокислоты и </w:t>
      </w:r>
    </w:p>
    <w:p w:rsidR="00187370" w:rsidRDefault="00187370">
      <w:pPr>
        <w:tabs>
          <w:tab w:val="num" w:pos="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жирные кислоты, как правило, отсутствуют или концентрация их незначительна. Поэтому принято считать, что группа алкогольных напитков не обладает биологической ценностью.</w:t>
      </w:r>
    </w:p>
    <w:p w:rsidR="00187370" w:rsidRDefault="00187370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физиологическая ценность;</w:t>
      </w:r>
    </w:p>
    <w:p w:rsidR="00187370" w:rsidRDefault="00187370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органолептические достоинства. На предприятии действует </w:t>
      </w:r>
    </w:p>
    <w:p w:rsidR="00187370" w:rsidRDefault="00187370">
      <w:pPr>
        <w:tabs>
          <w:tab w:val="num" w:pos="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еженедельная дегустационная комиссия, утверждающая рецептуру и производящая отбор образцов продукции для конкурсных и выставочных мероприятий. Экспертное заключение делается на основе баллового метода оценки. Сочетание достаточно высоких физиологических и органолептических свойств – основное достоинство алкогольных напитков, доминирующий признак их пищевой ценности.</w:t>
      </w:r>
    </w:p>
    <w:p w:rsidR="00187370" w:rsidRDefault="00187370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усвояемость;</w:t>
      </w:r>
    </w:p>
    <w:p w:rsidR="00187370" w:rsidRDefault="00187370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продуктовая безопасность. Безопасность водки регламентируется </w:t>
      </w:r>
    </w:p>
    <w:p w:rsidR="00187370" w:rsidRDefault="00187370">
      <w:pPr>
        <w:pStyle w:val="2"/>
        <w:tabs>
          <w:tab w:val="num" w:pos="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главным образом МБТ №5061 – 89 МЗ СССР, МБТ №1394 – 96 МЗ РФ.</w:t>
      </w:r>
    </w:p>
    <w:p w:rsidR="00187370" w:rsidRDefault="00187370">
      <w:pPr>
        <w:tabs>
          <w:tab w:val="num" w:pos="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 табл.1.2. приведен перечень основных нормативно – технических документов, используемых в процессе контроля качества алкогольной продукции.</w:t>
      </w:r>
    </w:p>
    <w:p w:rsidR="00187370" w:rsidRDefault="00187370">
      <w:pPr>
        <w:spacing w:line="360" w:lineRule="auto"/>
        <w:ind w:left="0"/>
        <w:jc w:val="right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187370" w:rsidRDefault="00187370">
      <w:pPr>
        <w:spacing w:line="360" w:lineRule="auto"/>
        <w:ind w:left="0"/>
        <w:jc w:val="right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187370" w:rsidRDefault="00187370">
      <w:pPr>
        <w:spacing w:line="360" w:lineRule="auto"/>
        <w:ind w:left="0"/>
        <w:jc w:val="right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187370" w:rsidRDefault="00187370">
      <w:pPr>
        <w:spacing w:line="360" w:lineRule="auto"/>
        <w:ind w:left="0"/>
        <w:jc w:val="right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Таблица 1.2.</w:t>
      </w:r>
    </w:p>
    <w:p w:rsidR="00187370" w:rsidRDefault="00187370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нормативно – технических документов, устанавливающих требования к качеству алкогольных напитков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87370" w:rsidRPr="00187370">
        <w:tc>
          <w:tcPr>
            <w:tcW w:w="9571" w:type="dxa"/>
          </w:tcPr>
          <w:p w:rsidR="00187370" w:rsidRPr="00187370" w:rsidRDefault="00187370">
            <w:pPr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ГОСТ Р 51355 – 99 «Водки и водки особые. Технические условия»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ГОСТ 12712 – 80 «Водки и водки особые. Технические условия»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ГОСТ Р 7190 – 93 «Изделия ликеро – водочные. ОТУ»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ГОСТ Р 51074 – 97 «Продукты пищевые. Информация для потребителя. ОТ»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Сан ПиН 2.3.2. 560 – 96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МБТ №5061 – 89 МЗ СССР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873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МБТ №1394 – 96 МЗ РФ</w:t>
            </w:r>
          </w:p>
        </w:tc>
      </w:tr>
    </w:tbl>
    <w:p w:rsidR="00187370" w:rsidRDefault="00187370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sectPr w:rsidR="00187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2. Объекты метрологии</w:t>
      </w:r>
    </w:p>
    <w:p w:rsidR="00187370" w:rsidRDefault="00187370">
      <w:pPr>
        <w:pStyle w:val="2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Метрология – это деятельность, обеспечивающая измерение физических величин, технических параметров, состава и свойств веществ.</w:t>
      </w:r>
    </w:p>
    <w:p w:rsidR="00187370" w:rsidRDefault="00187370">
      <w:pPr>
        <w:pStyle w:val="2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Метрология – наука об измерениях, методах и средствах обеспечения их единства и способах достижения требуемой точности.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Теоретическая метрология занимается вопросами фундаментальных исследований, созданием системы единиц измерений, физически постоянных величин, разработкой новых технологий измерений.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Прикладная метрология занимается вопросами практического применения в различных отраслях результатов теоретических исследований в рамках метрологии.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Объектом метрологии выступает физическая величина – особенность, свойство, общее в качественном отношении множеству физическим объектам, но в количественном отношении индивидуальное для каждого объекта.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Объектом коммерческой деятельности выступает товар. Физическая величина есть качественная характеристика товара в количественном выражении.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Размер – количественное содержание конкретной величины в принятой единице. Размеры основных единиц какой – либо системы единиц устанавливаются при их выборе и определяют размеры всех производных единиц данной системы.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Размерность – выражение, показывающее связь данной величины с физическими величинами, положенными в основу системы единиц. Размерность записывается в виде произведения символов соответствующих основных величин, возведенных в определенную степень, которые называются показателями.</w:t>
      </w: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sectPr w:rsidR="00187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370" w:rsidRDefault="00187370">
      <w:pPr>
        <w:spacing w:line="360" w:lineRule="auto"/>
        <w:ind w:left="0" w:firstLine="540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3. Практическое задание</w:t>
      </w:r>
    </w:p>
    <w:p w:rsidR="00187370" w:rsidRDefault="00187370">
      <w:pPr>
        <w:pStyle w:val="a6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Объектом анализа выступают:</w:t>
      </w:r>
    </w:p>
    <w:p w:rsidR="00187370" w:rsidRDefault="00187370">
      <w:pPr>
        <w:pStyle w:val="a6"/>
        <w:numPr>
          <w:ilvl w:val="0"/>
          <w:numId w:val="6"/>
        </w:numPr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Консервы мясные «Поросенок в желе»;</w:t>
      </w:r>
    </w:p>
    <w:p w:rsidR="00187370" w:rsidRDefault="00187370">
      <w:pPr>
        <w:pStyle w:val="a6"/>
        <w:numPr>
          <w:ilvl w:val="0"/>
          <w:numId w:val="6"/>
        </w:numPr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Консервы мясные «Завтрак туриста» (свинина);</w:t>
      </w:r>
    </w:p>
    <w:p w:rsidR="00187370" w:rsidRDefault="00187370">
      <w:pPr>
        <w:pStyle w:val="a6"/>
        <w:numPr>
          <w:ilvl w:val="0"/>
          <w:numId w:val="6"/>
        </w:numPr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Консервы мясные «Мясо в белом соусе» (свинина).</w:t>
      </w:r>
    </w:p>
    <w:p w:rsidR="00187370" w:rsidRDefault="00187370">
      <w:pPr>
        <w:pStyle w:val="a6"/>
        <w:tabs>
          <w:tab w:val="num" w:pos="36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Проанализируем перечень требований к качеству данных продуктов, регламентируемый государственными стандартами.</w:t>
      </w:r>
    </w:p>
    <w:p w:rsidR="00187370" w:rsidRDefault="00187370">
      <w:pPr>
        <w:pStyle w:val="a6"/>
        <w:tabs>
          <w:tab w:val="num" w:pos="36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Требования к качеству </w:t>
      </w:r>
      <w:r>
        <w:rPr>
          <w:rFonts w:ascii="Times New Roman" w:hAnsi="Times New Roman" w:cs="Times New Roman"/>
          <w:i/>
          <w:iCs/>
        </w:rPr>
        <w:t>консерв мясных «Поросенок в желе»</w:t>
      </w:r>
      <w:r>
        <w:rPr>
          <w:rFonts w:ascii="Times New Roman" w:hAnsi="Times New Roman" w:cs="Times New Roman"/>
        </w:rPr>
        <w:t xml:space="preserve"> устанавливаются стандартом ГОСТ 9935 – 76 «Консервы мясные. Поросенок в желе. Технические условия».</w:t>
      </w:r>
    </w:p>
    <w:p w:rsidR="00187370" w:rsidRDefault="00187370">
      <w:pPr>
        <w:pStyle w:val="a6"/>
        <w:tabs>
          <w:tab w:val="num" w:pos="36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Консервы мясные «Поросенок в желе» - это консервы, приготовленные из мяса с косточками поросят с добавлением бульона, фасованные в банки, герметически укупоренные и стерилизованные.</w:t>
      </w:r>
    </w:p>
    <w:p w:rsidR="00187370" w:rsidRDefault="00187370">
      <w:pPr>
        <w:pStyle w:val="a6"/>
        <w:tabs>
          <w:tab w:val="num" w:pos="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Сырье и материалы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Мясо поросят по ГОСТ 7724 – 61 второй категории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Соль поваренная пищевая по ГОСТ 13830 – 68, не менее 1 сорта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Перец черный молотый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Пергамент по ГОСТ 1341 – 74 марки А</w:t>
            </w:r>
          </w:p>
        </w:tc>
      </w:tr>
    </w:tbl>
    <w:p w:rsidR="00187370" w:rsidRDefault="00187370">
      <w:pPr>
        <w:pStyle w:val="a6"/>
        <w:tabs>
          <w:tab w:val="num" w:pos="360"/>
        </w:tabs>
        <w:jc w:val="center"/>
      </w:pPr>
    </w:p>
    <w:p w:rsidR="00187370" w:rsidRDefault="0018737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Органолептические и физико – химические показатели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Характеристики и нормы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Внешний вид и цвет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Куски мяса с костями светло – серого цвета со шкуркой. Желе прозрачного светло – желтого цвета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Запах и вкус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Свойственные вареному мясу поросят, без посторонних запаха и привкуса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Консистенция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Мясо сочное, не разваренное, косточки размягченные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Содержание мяса и косточек к массе – нетто, %, не менее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65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Содержание поваренной соли к массе – нетто, %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1,0 – 1,6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Содержание солей олова на 1 кг. продукта, мг., не более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200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 xml:space="preserve">Содержание солей свинца 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Содержание посторонних примесей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Не допускается</w:t>
            </w:r>
          </w:p>
        </w:tc>
      </w:tr>
    </w:tbl>
    <w:p w:rsidR="00187370" w:rsidRDefault="00187370">
      <w:pPr>
        <w:pStyle w:val="a6"/>
        <w:ind w:firstLine="900"/>
        <w:jc w:val="center"/>
      </w:pPr>
    </w:p>
    <w:p w:rsidR="00187370" w:rsidRDefault="00187370">
      <w:pPr>
        <w:pStyle w:val="a6"/>
        <w:tabs>
          <w:tab w:val="num" w:pos="360"/>
        </w:tabs>
        <w:ind w:firstLine="540"/>
      </w:pPr>
      <w:r>
        <w:rPr>
          <w:rFonts w:ascii="Times New Roman" w:hAnsi="Times New Roman" w:cs="Times New Roman"/>
        </w:rPr>
        <w:t xml:space="preserve">2. Требования к качеству </w:t>
      </w:r>
      <w:r>
        <w:rPr>
          <w:rFonts w:ascii="Times New Roman" w:hAnsi="Times New Roman" w:cs="Times New Roman"/>
          <w:i/>
          <w:iCs/>
        </w:rPr>
        <w:t>консерв мясных «Завтрак туриста» (свинина)</w:t>
      </w:r>
      <w:r>
        <w:rPr>
          <w:rFonts w:ascii="Times New Roman" w:hAnsi="Times New Roman" w:cs="Times New Roman"/>
        </w:rPr>
        <w:t xml:space="preserve"> устанавливаются стандартом ГОСТ 9936 – 76 «Консервы мясные «Завтрак туриста. Технические условия».</w:t>
      </w:r>
    </w:p>
    <w:p w:rsidR="00187370" w:rsidRDefault="00187370">
      <w:pPr>
        <w:pStyle w:val="a6"/>
        <w:tabs>
          <w:tab w:val="num" w:pos="36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Консервы мясные «Завтрак туриста» (свинина) - это консервы, приготовленные из выдержанного в посоле с пряностями свиного мяса, фасованные в банки, герметически укупоренные и стерилизованные.</w:t>
      </w:r>
    </w:p>
    <w:p w:rsidR="00187370" w:rsidRDefault="00187370">
      <w:pPr>
        <w:pStyle w:val="a6"/>
        <w:tabs>
          <w:tab w:val="num" w:pos="360"/>
        </w:tabs>
        <w:jc w:val="center"/>
      </w:pPr>
      <w:r>
        <w:rPr>
          <w:rFonts w:ascii="Times New Roman" w:hAnsi="Times New Roman" w:cs="Times New Roman"/>
        </w:rPr>
        <w:t>Сырье и материалы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Свинина по ГОСТ 7724 – 77 второй категории, без шкуры полутуши, массой 34 – 76кг, обрезная и четвертой категории без шкуры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Шкура свиная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Сахар – песок по ГОСТ 21 – 78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Соль поваренная пищевая по ГОСТ 13830 – 84, выварочная или каменная, самосадочная, садочная помолов №№1, 0, не менее 1 сорта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Натрий азотнокислый по ГОСТ 4197 – 74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Перец черный молотый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Перец красный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Пергамент по ГОСТ 1341 – 84 марки А</w:t>
            </w:r>
          </w:p>
        </w:tc>
      </w:tr>
    </w:tbl>
    <w:p w:rsidR="00187370" w:rsidRDefault="00187370">
      <w:pPr>
        <w:pStyle w:val="a6"/>
        <w:tabs>
          <w:tab w:val="num" w:pos="360"/>
        </w:tabs>
        <w:jc w:val="center"/>
      </w:pPr>
    </w:p>
    <w:p w:rsidR="00187370" w:rsidRDefault="0018737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Органолептические и физико – химические показатели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Характеристики и нормы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Внешний вид и консистенция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Куски мяса и жира хорошо связанные, в охлажденном состоянии при аккуратном извлечении из банки не распадаются. Допускается не большое количество свободно выделившегося жира.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Запах и вкус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Свойственные вареной свинине ветчинного посола с пряностями, без посторонних запаха и привкуса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Мясная ткань от розового до красного цвета различной интенсивности окраски, свиной жир белого цвета с розоватым оттенком. Желе желтоватого цвета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Массовая доля соли, %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1 – 2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Массовая доля натрия, %, не менее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0,003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Массовая доля олова, %, не менее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0,01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 xml:space="preserve">Содержание солей свинца 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Содержание посторонних примесей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Не допускается</w:t>
            </w:r>
          </w:p>
        </w:tc>
      </w:tr>
    </w:tbl>
    <w:p w:rsidR="00187370" w:rsidRDefault="00187370">
      <w:pPr>
        <w:pStyle w:val="a6"/>
        <w:tabs>
          <w:tab w:val="num" w:pos="360"/>
        </w:tabs>
        <w:ind w:firstLine="540"/>
      </w:pPr>
      <w:r>
        <w:rPr>
          <w:rFonts w:ascii="Times New Roman" w:hAnsi="Times New Roman" w:cs="Times New Roman"/>
        </w:rPr>
        <w:t xml:space="preserve">3. Требования к качеству </w:t>
      </w:r>
      <w:r>
        <w:rPr>
          <w:rFonts w:ascii="Times New Roman" w:hAnsi="Times New Roman" w:cs="Times New Roman"/>
          <w:i/>
          <w:iCs/>
        </w:rPr>
        <w:t>консерв мясных «Мясо в белом соусе» (свинина)</w:t>
      </w:r>
      <w:r>
        <w:rPr>
          <w:rFonts w:ascii="Times New Roman" w:hAnsi="Times New Roman" w:cs="Times New Roman"/>
        </w:rPr>
        <w:t xml:space="preserve"> устанавливаются стандартом ГОСТ 9937 – 79 «Консервы мясные «Завтрак туриста. Технические условия».</w:t>
      </w:r>
    </w:p>
    <w:p w:rsidR="00187370" w:rsidRDefault="00187370">
      <w:pPr>
        <w:pStyle w:val="a6"/>
        <w:tabs>
          <w:tab w:val="num" w:pos="36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Консервы мясные «Мясо в белом соусе» (свинина) - это консервы, приготовленные из мяса, панированного мукой, с добавлением жареного лука, специй и соли, фасованные в банки, герметически укупоренные и стерилизованные.</w:t>
      </w:r>
    </w:p>
    <w:p w:rsidR="00187370" w:rsidRDefault="00187370">
      <w:pPr>
        <w:pStyle w:val="a6"/>
        <w:tabs>
          <w:tab w:val="num" w:pos="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Сырье и материалы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Свинина по ГОСТ 7724 – 77 второй категории, без шкуры полутуши, массой 34 – 76кг, обрезная и четвертой категории без шкуры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Жир – сырец или топленый пищевой свиной жир не менее 1 сорта, или масло подсолнечное (по ГОСТ 1129 - 73) рафинированное дезодорированное, или масло хлопковое (по ГОСТ 1128 - 75) дезодорированное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Сахар – песок по ГОСТ 21 – 57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Соль поваренная пищевая по ГОСТ 13830 – 68, выварочная или каменная, самосадочная, садочная помолов №№1, 0, не менее 1 сорта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Мука пшеничная не менее 1 сорта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Перец черный молотый</w:t>
            </w:r>
          </w:p>
        </w:tc>
      </w:tr>
      <w:tr w:rsidR="00187370" w:rsidRPr="00187370">
        <w:tc>
          <w:tcPr>
            <w:tcW w:w="9571" w:type="dxa"/>
          </w:tcPr>
          <w:p w:rsidR="00187370" w:rsidRPr="00187370" w:rsidRDefault="00187370">
            <w:pPr>
              <w:pStyle w:val="a6"/>
              <w:tabs>
                <w:tab w:val="num" w:pos="3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Лук репчатый свежий по ГОСТ 1723 - 67</w:t>
            </w:r>
          </w:p>
        </w:tc>
      </w:tr>
    </w:tbl>
    <w:p w:rsidR="00187370" w:rsidRDefault="0018737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Органолептические и физико-химические показатели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Характеристики и нормы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Внешний вид и консистенция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Куски мяса без костей, хрящей и сухожилий, мягкие, не переваренные без комков. Соус однородный от серо – белого до кремового цвета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Запах и вкус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Свойственные вареному мясу в соусе, без посторонних запаха и привкуса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Массовая доля мяса к массе - нетто, %, не менее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70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Массовая доля соли, %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1 – 1,8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Массовая доля соуса, %, не менее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30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Содержание соли олова на 1 кг, мг, не менее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</w:pPr>
            <w:r w:rsidRPr="00187370">
              <w:t>200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 xml:space="preserve">Содержание солей свинца 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87370" w:rsidRPr="00187370">
        <w:tc>
          <w:tcPr>
            <w:tcW w:w="4785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Содержание посторонних примесей</w:t>
            </w:r>
          </w:p>
        </w:tc>
        <w:tc>
          <w:tcPr>
            <w:tcW w:w="4786" w:type="dxa"/>
          </w:tcPr>
          <w:p w:rsidR="00187370" w:rsidRPr="00187370" w:rsidRDefault="0018737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87370">
              <w:rPr>
                <w:rFonts w:ascii="Times New Roman" w:hAnsi="Times New Roman" w:cs="Times New Roman"/>
              </w:rPr>
              <w:t>Не допускается</w:t>
            </w:r>
          </w:p>
        </w:tc>
      </w:tr>
    </w:tbl>
    <w:p w:rsidR="00187370" w:rsidRDefault="00187370">
      <w:pPr>
        <w:pStyle w:val="a6"/>
        <w:ind w:firstLine="900"/>
        <w:jc w:val="center"/>
      </w:pPr>
    </w:p>
    <w:p w:rsidR="00187370" w:rsidRDefault="00187370">
      <w:pPr>
        <w:pStyle w:val="33"/>
        <w:ind w:firstLine="540"/>
      </w:pPr>
      <w:r>
        <w:rPr>
          <w:rFonts w:ascii="Times New Roman" w:hAnsi="Times New Roman" w:cs="Times New Roman"/>
        </w:rPr>
        <w:t>В результате сравнительного анализа были выявлено, что у данных продуктов имеет место единообразие по следующим показателям:</w:t>
      </w:r>
    </w:p>
    <w:p w:rsidR="00187370" w:rsidRDefault="00187370">
      <w:pPr>
        <w:tabs>
          <w:tab w:val="num" w:pos="36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1. сырье и материалы:</w:t>
      </w:r>
    </w:p>
    <w:p w:rsidR="00187370" w:rsidRDefault="00187370">
      <w:pPr>
        <w:numPr>
          <w:ilvl w:val="1"/>
          <w:numId w:val="7"/>
        </w:numPr>
        <w:tabs>
          <w:tab w:val="num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мясо свинины по ГОСТ 7724 – 77 второй категории и четвертой категории без шкуры, за исключением консерв мясных «Поросенок в желе»;</w:t>
      </w:r>
    </w:p>
    <w:p w:rsidR="00187370" w:rsidRDefault="00187370">
      <w:pPr>
        <w:pStyle w:val="a6"/>
        <w:tabs>
          <w:tab w:val="num" w:pos="36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соль поваренная пищевая по ГОСТ 13830 – 68, выварочная или каменная, самосадочная, садочная помолов №№1, 0, не менее 1 сорта;</w:t>
      </w:r>
    </w:p>
    <w:p w:rsidR="00187370" w:rsidRDefault="00187370">
      <w:pPr>
        <w:tabs>
          <w:tab w:val="num" w:pos="360"/>
        </w:tabs>
        <w:spacing w:line="36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1.3. перец черный молотый.</w:t>
      </w:r>
    </w:p>
    <w:p w:rsidR="00187370" w:rsidRDefault="00187370">
      <w:pPr>
        <w:pStyle w:val="a6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органолептические и физико-химические показатели:</w:t>
      </w:r>
    </w:p>
    <w:p w:rsidR="00187370" w:rsidRDefault="00187370">
      <w:pPr>
        <w:pStyle w:val="a6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запах и вкус: не допускаются посторонние запах и привкус;</w:t>
      </w:r>
    </w:p>
    <w:p w:rsidR="00187370" w:rsidRDefault="00187370">
      <w:pPr>
        <w:pStyle w:val="a6"/>
        <w:ind w:firstLine="540"/>
      </w:pPr>
      <w:r>
        <w:rPr>
          <w:rFonts w:ascii="Times New Roman" w:hAnsi="Times New Roman" w:cs="Times New Roman"/>
        </w:rPr>
        <w:t>2.2. массовая доля соли: от 1 до 25 массы – нетто</w:t>
      </w:r>
      <w:r>
        <w:t>;</w:t>
      </w:r>
    </w:p>
    <w:p w:rsidR="00187370" w:rsidRDefault="00187370">
      <w:pPr>
        <w:pStyle w:val="a6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содержание  свинца и посторонних примесей не допускается.</w:t>
      </w:r>
    </w:p>
    <w:p w:rsidR="00187370" w:rsidRDefault="00187370">
      <w:pPr>
        <w:pStyle w:val="a6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остальным показателям качества имеют место различия, обусловленные рецептурой, назначением продуктов.</w:t>
      </w:r>
    </w:p>
    <w:p w:rsidR="00187370" w:rsidRDefault="00187370">
      <w:pPr>
        <w:pStyle w:val="a6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Но, кроме того, необходимо отметить, что по ряду показателей имеют место расхождения лишь в зависимости от даты последнего изменения того или иного нормативно – технического документа (государственного стандарта в данном случае). Так, например, при изготовлении консерв «Поросенок в желе» применяется мясо в соответствии с ГОСТ 7724 – 61. В то время как техническими условиями производства консерв «Завтрак туриста» и «Мясо в белом соусе» предусмотрено применение свинины по ГОСТ 7724 – 77. Таким образом, в данном аспекте имеет место необходимость проведения процедуры унификации посредством внесения изменения в ГОСТ 9935 – 76 «Консервы мясные. Поросенок в желе. Технические условия» и замены ГОСТ 7724 – 61 на ГОСТ 7724 – 77.</w:t>
      </w:r>
    </w:p>
    <w:p w:rsidR="00187370" w:rsidRDefault="00187370">
      <w:pPr>
        <w:pStyle w:val="a6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Аналогичное различие наблюдается в отношении сахара – песка: согласно ГОСТ 9936 – 76 «Консервы мясные «Завтрак туриста. Технические условия»применяется сахар – песок по ГОСТ 21 – 78, а при производстве консерв «Мясо в белом соусе» добавляется сахар – песок по ГОСТ 21 – 57.</w:t>
      </w:r>
    </w:p>
    <w:p w:rsidR="00187370" w:rsidRDefault="00187370">
      <w:pPr>
        <w:pStyle w:val="2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различия могут быть приведены к единообразию лишь при консультации со специалистами в области технологии пищевого производства.</w:t>
      </w:r>
    </w:p>
    <w:p w:rsidR="00187370" w:rsidRDefault="00187370">
      <w:pPr>
        <w:pStyle w:val="2"/>
        <w:ind w:firstLine="540"/>
      </w:pPr>
      <w:r>
        <w:rPr>
          <w:rFonts w:ascii="Times New Roman" w:hAnsi="Times New Roman" w:cs="Times New Roman"/>
        </w:rPr>
        <w:t>Структура всех рассмотренных стандартов идентична</w:t>
      </w:r>
      <w:r>
        <w:t>:</w:t>
      </w:r>
    </w:p>
    <w:p w:rsidR="00187370" w:rsidRDefault="00187370">
      <w:pPr>
        <w:pStyle w:val="2"/>
        <w:numPr>
          <w:ilvl w:val="0"/>
          <w:numId w:val="8"/>
        </w:num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требования</w:t>
      </w:r>
    </w:p>
    <w:p w:rsidR="00187370" w:rsidRDefault="00187370">
      <w:pPr>
        <w:pStyle w:val="2"/>
        <w:numPr>
          <w:ilvl w:val="1"/>
          <w:numId w:val="8"/>
        </w:num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</w:t>
      </w:r>
    </w:p>
    <w:p w:rsidR="00187370" w:rsidRDefault="00187370">
      <w:pPr>
        <w:pStyle w:val="2"/>
        <w:numPr>
          <w:ilvl w:val="1"/>
          <w:numId w:val="8"/>
        </w:num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сырью</w:t>
      </w:r>
    </w:p>
    <w:p w:rsidR="00187370" w:rsidRDefault="00187370">
      <w:pPr>
        <w:pStyle w:val="2"/>
        <w:numPr>
          <w:ilvl w:val="1"/>
          <w:numId w:val="8"/>
        </w:num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Упаковка</w:t>
      </w:r>
    </w:p>
    <w:p w:rsidR="00187370" w:rsidRDefault="00187370">
      <w:pPr>
        <w:pStyle w:val="2"/>
        <w:numPr>
          <w:ilvl w:val="1"/>
          <w:numId w:val="8"/>
        </w:num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Маркировка</w:t>
      </w:r>
    </w:p>
    <w:p w:rsidR="00187370" w:rsidRDefault="00187370">
      <w:pPr>
        <w:pStyle w:val="2"/>
        <w:numPr>
          <w:ilvl w:val="0"/>
          <w:numId w:val="8"/>
        </w:num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Приемка</w:t>
      </w:r>
    </w:p>
    <w:p w:rsidR="00187370" w:rsidRDefault="00187370">
      <w:pPr>
        <w:pStyle w:val="2"/>
        <w:numPr>
          <w:ilvl w:val="0"/>
          <w:numId w:val="8"/>
        </w:num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анализа</w:t>
      </w:r>
    </w:p>
    <w:p w:rsidR="00187370" w:rsidRDefault="00187370">
      <w:pPr>
        <w:pStyle w:val="2"/>
        <w:numPr>
          <w:ilvl w:val="0"/>
          <w:numId w:val="8"/>
        </w:numPr>
        <w:ind w:firstLine="540"/>
        <w:rPr>
          <w:b/>
          <w:bCs/>
        </w:rPr>
      </w:pPr>
      <w:r>
        <w:rPr>
          <w:rFonts w:ascii="Times New Roman" w:hAnsi="Times New Roman" w:cs="Times New Roman"/>
        </w:rPr>
        <w:t>Транспортирование и хранение</w:t>
      </w:r>
    </w:p>
    <w:p w:rsidR="00187370" w:rsidRDefault="00187370">
      <w:pPr>
        <w:pStyle w:val="2"/>
      </w:pPr>
    </w:p>
    <w:p w:rsidR="00187370" w:rsidRDefault="00187370">
      <w:pPr>
        <w:pStyle w:val="2"/>
        <w:rPr>
          <w:b/>
          <w:bCs/>
        </w:rPr>
        <w:sectPr w:rsidR="00187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370" w:rsidRDefault="00187370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Список литературы</w:t>
      </w:r>
    </w:p>
    <w:p w:rsidR="00187370" w:rsidRDefault="00187370">
      <w:pPr>
        <w:pStyle w:val="a6"/>
        <w:tabs>
          <w:tab w:val="num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ГОСТ 9935 – 76 «Консервы мясные. Поросенок в желе. Технические условия»;</w:t>
      </w:r>
    </w:p>
    <w:p w:rsidR="00187370" w:rsidRDefault="00187370">
      <w:pPr>
        <w:pStyle w:val="a6"/>
        <w:tabs>
          <w:tab w:val="num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ГОСТ 9936 – 76 «Консервы мясные «Завтрак туриста. Технические условия»;</w:t>
      </w:r>
    </w:p>
    <w:p w:rsidR="00187370" w:rsidRDefault="00187370">
      <w:pPr>
        <w:pStyle w:val="a6"/>
        <w:tabs>
          <w:tab w:val="num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ГОСТ 9937 – 79 «Консервы мясные «Завтрак туриста. Технические условия»;</w:t>
      </w:r>
    </w:p>
    <w:p w:rsidR="00187370" w:rsidRDefault="00187370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Крылова Г. Д. Основы стандартизации, сертификации и метрологии: Учебное пособие для ВУЗов  – 2 – е издание переработанное и дополненное. – М.: ЮНИТИ – ДАНА, 2000;</w:t>
      </w:r>
    </w:p>
    <w:p w:rsidR="00187370" w:rsidRDefault="00187370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Сергеев А.Г., Крохин В.В. Метрология: Учебное пособие для ВУЗов.  – М.: Логос, 2000;</w:t>
      </w:r>
    </w:p>
    <w:p w:rsidR="00187370" w:rsidRDefault="00187370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Стандартизация и управление качеством продукции: Учебник для вузов/ В.А. Швандар и др. - М.; ЮНИТИ-ДАНА, 1999;</w:t>
      </w:r>
    </w:p>
    <w:p w:rsidR="00187370" w:rsidRDefault="00187370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Полный сборник кодексов Российской Федерации. С изменениями и дополнениями на 1 мая 1999 года. – М.: ООО «Фирма «Издательство АСТ», 1999;</w:t>
      </w:r>
    </w:p>
    <w:p w:rsidR="00187370" w:rsidRDefault="00187370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Полный сборник законов Российской Федерации. С изменениями и дополнениями на 1 августа 1999 года. – М.: ООО «Фирма «Издательство АСТ», 1999;</w:t>
      </w:r>
    </w:p>
    <w:p w:rsidR="00187370" w:rsidRDefault="00187370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Положение о системе сертификации ГОСТ Р // Новое в бухучете и отчетности, 1998 №12;</w:t>
      </w:r>
    </w:p>
    <w:p w:rsidR="00187370" w:rsidRDefault="00187370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Потребитель в законе. - М.; ФИЛИН, 1995;</w:t>
      </w:r>
    </w:p>
    <w:p w:rsidR="00187370" w:rsidRDefault="00187370">
      <w:pPr>
        <w:pStyle w:val="a6"/>
      </w:pPr>
      <w:r>
        <w:rPr>
          <w:rFonts w:ascii="Times New Roman" w:hAnsi="Times New Roman" w:cs="Times New Roman"/>
        </w:rPr>
        <w:t>11.Федько В.П. Маркировка и сертификация товаров и услуг</w:t>
      </w:r>
      <w:r>
        <w:t xml:space="preserve">. </w:t>
      </w:r>
      <w:r>
        <w:rPr>
          <w:rFonts w:ascii="Times New Roman" w:hAnsi="Times New Roman" w:cs="Times New Roman"/>
        </w:rPr>
        <w:t>- Ростов - на- Дону,1998;</w:t>
      </w:r>
    </w:p>
    <w:p w:rsidR="00187370" w:rsidRDefault="00187370">
      <w:pPr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12. Федько В.П. Упаковка и маркировка: Учебно-практическое пособие. - М., 1998.</w:t>
      </w:r>
    </w:p>
    <w:p w:rsidR="00187370" w:rsidRDefault="00187370">
      <w:pPr>
        <w:pStyle w:val="2"/>
        <w:rPr>
          <w:b/>
          <w:bCs/>
        </w:rPr>
      </w:pPr>
      <w:bookmarkStart w:id="0" w:name="_GoBack"/>
      <w:bookmarkEnd w:id="0"/>
    </w:p>
    <w:sectPr w:rsidR="0018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70" w:rsidRDefault="00187370">
      <w:r>
        <w:separator/>
      </w:r>
    </w:p>
  </w:endnote>
  <w:endnote w:type="continuationSeparator" w:id="0">
    <w:p w:rsidR="00187370" w:rsidRDefault="0018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70" w:rsidRDefault="00187370">
      <w:r>
        <w:separator/>
      </w:r>
    </w:p>
  </w:footnote>
  <w:footnote w:type="continuationSeparator" w:id="0">
    <w:p w:rsidR="00187370" w:rsidRDefault="00187370">
      <w:r>
        <w:continuationSeparator/>
      </w:r>
    </w:p>
  </w:footnote>
  <w:footnote w:id="1">
    <w:p w:rsidR="00187370" w:rsidRDefault="00187370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Положение о системе сертификации ГОСТ Р</w:t>
      </w:r>
    </w:p>
  </w:footnote>
  <w:footnote w:id="2">
    <w:p w:rsidR="00187370" w:rsidRDefault="0018737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Данные на конец 1996 г</w:t>
      </w:r>
      <w:r>
        <w:rPr>
          <w:sz w:val="28"/>
          <w:szCs w:val="28"/>
        </w:rPr>
        <w:t>.</w:t>
      </w:r>
    </w:p>
  </w:footnote>
  <w:footnote w:id="3">
    <w:p w:rsidR="00187370" w:rsidRDefault="00187370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Здесь характеристики - синоним показателей (параметров) качества.</w:t>
      </w:r>
    </w:p>
  </w:footnote>
  <w:footnote w:id="4">
    <w:p w:rsidR="00187370" w:rsidRDefault="00187370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См. Крылова Д. Основы стандартизации, сертификации, метрологии. –М.:ЮНИТИ, 1998,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17E3"/>
    <w:multiLevelType w:val="multilevel"/>
    <w:tmpl w:val="154ED7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1464C3"/>
    <w:multiLevelType w:val="multilevel"/>
    <w:tmpl w:val="429821D8"/>
    <w:lvl w:ilvl="0">
      <w:start w:val="1"/>
      <w:numFmt w:val="decimal"/>
      <w:suff w:val="space"/>
      <w:lvlText w:val="%1)"/>
      <w:lvlJc w:val="left"/>
      <w:pPr>
        <w:ind w:left="170" w:hanging="170"/>
      </w:pPr>
    </w:lvl>
    <w:lvl w:ilvl="1">
      <w:start w:val="1"/>
      <w:numFmt w:val="none"/>
      <w:suff w:val="space"/>
      <w:lvlText w:val=""/>
      <w:lvlJc w:val="left"/>
      <w:pPr>
        <w:ind w:left="284" w:hanging="114"/>
      </w:pPr>
      <w:rPr>
        <w:rFonts w:ascii="Symbol" w:hAnsi="Symbol" w:cs="Symbol" w:hint="default"/>
      </w:rPr>
    </w:lvl>
    <w:lvl w:ilvl="2">
      <w:start w:val="1"/>
      <w:numFmt w:val="none"/>
      <w:suff w:val="space"/>
      <w:lvlText w:val=""/>
      <w:lvlJc w:val="left"/>
      <w:pPr>
        <w:ind w:left="454" w:hanging="17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"/>
      <w:lvlJc w:val="left"/>
      <w:pPr>
        <w:ind w:left="567" w:hanging="113"/>
      </w:pPr>
      <w:rPr>
        <w:rFonts w:ascii="Symbol" w:hAnsi="Symbol" w:cs="Symbol" w:hint="default"/>
        <w:color w:val="auto"/>
      </w:rPr>
    </w:lvl>
    <w:lvl w:ilvl="4">
      <w:start w:val="1"/>
      <w:numFmt w:val="bullet"/>
      <w:suff w:val="space"/>
      <w:lvlText w:val=""/>
      <w:lvlJc w:val="left"/>
      <w:pPr>
        <w:ind w:left="680" w:hanging="113"/>
      </w:pPr>
      <w:rPr>
        <w:rFonts w:ascii="Symbol" w:hAnsi="Symbol" w:cs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22B831B7"/>
    <w:multiLevelType w:val="multilevel"/>
    <w:tmpl w:val="429821D8"/>
    <w:lvl w:ilvl="0">
      <w:start w:val="1"/>
      <w:numFmt w:val="decimal"/>
      <w:suff w:val="space"/>
      <w:lvlText w:val="%1)"/>
      <w:lvlJc w:val="left"/>
      <w:pPr>
        <w:ind w:left="170" w:hanging="170"/>
      </w:pPr>
    </w:lvl>
    <w:lvl w:ilvl="1">
      <w:start w:val="1"/>
      <w:numFmt w:val="none"/>
      <w:suff w:val="space"/>
      <w:lvlText w:val=""/>
      <w:lvlJc w:val="left"/>
      <w:pPr>
        <w:ind w:left="284" w:hanging="114"/>
      </w:pPr>
      <w:rPr>
        <w:rFonts w:ascii="Symbol" w:hAnsi="Symbol" w:cs="Symbol" w:hint="default"/>
      </w:rPr>
    </w:lvl>
    <w:lvl w:ilvl="2">
      <w:start w:val="1"/>
      <w:numFmt w:val="none"/>
      <w:suff w:val="space"/>
      <w:lvlText w:val=""/>
      <w:lvlJc w:val="left"/>
      <w:pPr>
        <w:ind w:left="454" w:hanging="17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"/>
      <w:lvlJc w:val="left"/>
      <w:pPr>
        <w:ind w:left="567" w:hanging="113"/>
      </w:pPr>
      <w:rPr>
        <w:rFonts w:ascii="Symbol" w:hAnsi="Symbol" w:cs="Symbol" w:hint="default"/>
        <w:color w:val="auto"/>
      </w:rPr>
    </w:lvl>
    <w:lvl w:ilvl="4">
      <w:start w:val="1"/>
      <w:numFmt w:val="bullet"/>
      <w:suff w:val="space"/>
      <w:lvlText w:val=""/>
      <w:lvlJc w:val="left"/>
      <w:pPr>
        <w:ind w:left="680" w:hanging="113"/>
      </w:pPr>
      <w:rPr>
        <w:rFonts w:ascii="Symbol" w:hAnsi="Symbol" w:cs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D6F2562"/>
    <w:multiLevelType w:val="hybridMultilevel"/>
    <w:tmpl w:val="A4862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8C3947"/>
    <w:multiLevelType w:val="singleLevel"/>
    <w:tmpl w:val="A992D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585CDD"/>
    <w:multiLevelType w:val="multilevel"/>
    <w:tmpl w:val="6682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651E6B81"/>
    <w:multiLevelType w:val="hybridMultilevel"/>
    <w:tmpl w:val="FEF46B54"/>
    <w:lvl w:ilvl="0" w:tplc="4EBE5E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F1E3173"/>
    <w:multiLevelType w:val="multilevel"/>
    <w:tmpl w:val="429821D8"/>
    <w:lvl w:ilvl="0">
      <w:start w:val="1"/>
      <w:numFmt w:val="decimal"/>
      <w:suff w:val="space"/>
      <w:lvlText w:val="%1)"/>
      <w:lvlJc w:val="left"/>
      <w:pPr>
        <w:ind w:left="170" w:hanging="170"/>
      </w:pPr>
    </w:lvl>
    <w:lvl w:ilvl="1">
      <w:start w:val="1"/>
      <w:numFmt w:val="none"/>
      <w:suff w:val="space"/>
      <w:lvlText w:val=""/>
      <w:lvlJc w:val="left"/>
      <w:pPr>
        <w:ind w:left="284" w:hanging="114"/>
      </w:pPr>
      <w:rPr>
        <w:rFonts w:ascii="Symbol" w:hAnsi="Symbol" w:cs="Symbol" w:hint="default"/>
      </w:rPr>
    </w:lvl>
    <w:lvl w:ilvl="2">
      <w:start w:val="1"/>
      <w:numFmt w:val="none"/>
      <w:suff w:val="space"/>
      <w:lvlText w:val=""/>
      <w:lvlJc w:val="left"/>
      <w:pPr>
        <w:ind w:left="454" w:hanging="17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"/>
      <w:lvlJc w:val="left"/>
      <w:pPr>
        <w:ind w:left="567" w:hanging="113"/>
      </w:pPr>
      <w:rPr>
        <w:rFonts w:ascii="Symbol" w:hAnsi="Symbol" w:cs="Symbol" w:hint="default"/>
        <w:color w:val="auto"/>
      </w:rPr>
    </w:lvl>
    <w:lvl w:ilvl="4">
      <w:start w:val="1"/>
      <w:numFmt w:val="bullet"/>
      <w:suff w:val="space"/>
      <w:lvlText w:val=""/>
      <w:lvlJc w:val="left"/>
      <w:pPr>
        <w:ind w:left="680" w:hanging="113"/>
      </w:pPr>
      <w:rPr>
        <w:rFonts w:ascii="Symbol" w:hAnsi="Symbol" w:cs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7E2E6F1C"/>
    <w:multiLevelType w:val="hybridMultilevel"/>
    <w:tmpl w:val="1DE40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A13"/>
    <w:rsid w:val="00187370"/>
    <w:rsid w:val="00336A13"/>
    <w:rsid w:val="00AE4900"/>
    <w:rsid w:val="00E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1479AB-3F91-4AAF-8719-951AA4F2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1560"/>
    </w:pPr>
    <w:rPr>
      <w:rFonts w:ascii="Arial" w:hAnsi="Arial" w:cs="Arial"/>
      <w:i/>
      <w:iCs/>
      <w:sz w:val="12"/>
      <w:szCs w:val="12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0"/>
      <w:jc w:val="center"/>
      <w:outlineLvl w:val="2"/>
    </w:pPr>
    <w:rPr>
      <w:i w:val="0"/>
      <w:iCs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a3">
    <w:name w:val="footnote text"/>
    <w:basedOn w:val="a"/>
    <w:link w:val="a4"/>
    <w:uiPriority w:val="99"/>
    <w:pPr>
      <w:ind w:left="0"/>
    </w:pPr>
    <w:rPr>
      <w:i w:val="0"/>
      <w:iCs w:val="0"/>
      <w:sz w:val="20"/>
      <w:szCs w:val="20"/>
      <w:lang w:val="ru-RU"/>
    </w:rPr>
  </w:style>
  <w:style w:type="character" w:customStyle="1" w:styleId="a4">
    <w:name w:val="Текст сноски Знак"/>
    <w:link w:val="a3"/>
    <w:uiPriority w:val="99"/>
    <w:semiHidden/>
    <w:rPr>
      <w:rFonts w:ascii="Arial" w:hAnsi="Arial" w:cs="Arial"/>
      <w:i/>
      <w:iCs/>
      <w:sz w:val="20"/>
      <w:szCs w:val="20"/>
      <w:lang w:val="en-US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Body Text"/>
    <w:basedOn w:val="a"/>
    <w:link w:val="a7"/>
    <w:uiPriority w:val="99"/>
    <w:pPr>
      <w:spacing w:line="360" w:lineRule="auto"/>
      <w:ind w:left="0"/>
      <w:jc w:val="both"/>
    </w:pPr>
    <w:rPr>
      <w:i w:val="0"/>
      <w:iCs w:val="0"/>
      <w:sz w:val="28"/>
      <w:szCs w:val="28"/>
      <w:lang w:val="ru-RU"/>
    </w:rPr>
  </w:style>
  <w:style w:type="character" w:customStyle="1" w:styleId="a7">
    <w:name w:val="Основной текст Знак"/>
    <w:link w:val="a6"/>
    <w:uiPriority w:val="99"/>
    <w:semiHidden/>
    <w:rPr>
      <w:rFonts w:ascii="Arial" w:hAnsi="Arial" w:cs="Arial"/>
      <w:i/>
      <w:iCs/>
      <w:sz w:val="12"/>
      <w:szCs w:val="12"/>
      <w:lang w:val="en-US"/>
    </w:rPr>
  </w:style>
  <w:style w:type="paragraph" w:styleId="2">
    <w:name w:val="Body Text 2"/>
    <w:basedOn w:val="a"/>
    <w:link w:val="20"/>
    <w:uiPriority w:val="99"/>
    <w:pPr>
      <w:spacing w:line="360" w:lineRule="auto"/>
      <w:ind w:left="0"/>
      <w:jc w:val="both"/>
    </w:pPr>
    <w:rPr>
      <w:i w:val="0"/>
      <w:iCs w:val="0"/>
      <w:sz w:val="28"/>
      <w:szCs w:val="28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  <w:i/>
      <w:iCs/>
      <w:sz w:val="12"/>
      <w:szCs w:val="12"/>
      <w:lang w:val="en-US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0" w:firstLine="540"/>
      <w:jc w:val="both"/>
    </w:pPr>
    <w:rPr>
      <w:i w:val="0"/>
      <w:iCs w:val="0"/>
      <w:sz w:val="28"/>
      <w:szCs w:val="28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 w:cs="Arial"/>
      <w:i/>
      <w:iCs/>
      <w:sz w:val="12"/>
      <w:szCs w:val="12"/>
      <w:lang w:val="en-US"/>
    </w:rPr>
  </w:style>
  <w:style w:type="paragraph" w:styleId="31">
    <w:name w:val="Body Text 3"/>
    <w:basedOn w:val="a"/>
    <w:link w:val="32"/>
    <w:uiPriority w:val="99"/>
    <w:pPr>
      <w:spacing w:line="360" w:lineRule="auto"/>
      <w:ind w:left="0"/>
      <w:jc w:val="center"/>
    </w:pPr>
    <w:rPr>
      <w:i w:val="0"/>
      <w:iCs w:val="0"/>
      <w:sz w:val="28"/>
      <w:szCs w:val="28"/>
      <w:lang w:val="ru-RU"/>
    </w:rPr>
  </w:style>
  <w:style w:type="character" w:customStyle="1" w:styleId="32">
    <w:name w:val="Основной текст 3 Знак"/>
    <w:link w:val="31"/>
    <w:uiPriority w:val="99"/>
    <w:semiHidden/>
    <w:rPr>
      <w:rFonts w:ascii="Arial" w:hAnsi="Arial" w:cs="Arial"/>
      <w:i/>
      <w:iCs/>
      <w:sz w:val="16"/>
      <w:szCs w:val="16"/>
      <w:lang w:val="en-US"/>
    </w:rPr>
  </w:style>
  <w:style w:type="paragraph" w:styleId="33">
    <w:name w:val="Body Text Indent 3"/>
    <w:basedOn w:val="a"/>
    <w:link w:val="34"/>
    <w:uiPriority w:val="99"/>
    <w:pPr>
      <w:tabs>
        <w:tab w:val="num" w:pos="360"/>
      </w:tabs>
      <w:spacing w:line="360" w:lineRule="auto"/>
      <w:ind w:left="0" w:firstLine="900"/>
      <w:jc w:val="both"/>
    </w:pPr>
    <w:rPr>
      <w:i w:val="0"/>
      <w:iCs w:val="0"/>
      <w:sz w:val="28"/>
      <w:szCs w:val="28"/>
      <w:lang w:val="ru-RU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Arial" w:hAnsi="Arial" w:cs="Arial"/>
      <w:i/>
      <w:iCs/>
      <w:sz w:val="16"/>
      <w:szCs w:val="16"/>
      <w:lang w:val="en-US"/>
    </w:rPr>
  </w:style>
  <w:style w:type="paragraph" w:styleId="a8">
    <w:name w:val="Plain Text"/>
    <w:basedOn w:val="a"/>
    <w:link w:val="a9"/>
    <w:uiPriority w:val="99"/>
    <w:pPr>
      <w:ind w:left="0"/>
    </w:pPr>
    <w:rPr>
      <w:rFonts w:ascii="Courier New" w:hAnsi="Courier New" w:cs="Courier New"/>
      <w:i w:val="0"/>
      <w:iCs w:val="0"/>
      <w:sz w:val="20"/>
      <w:szCs w:val="20"/>
      <w:lang w:val="ru-RU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Office</Company>
  <LinksUpToDate>false</LinksUpToDate>
  <CharactersWithSpaces>26349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dcterms:created xsi:type="dcterms:W3CDTF">2014-03-30T12:32:00Z</dcterms:created>
  <dcterms:modified xsi:type="dcterms:W3CDTF">2014-03-30T12:32:00Z</dcterms:modified>
</cp:coreProperties>
</file>