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7A" w:rsidRDefault="00C32370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Особенности формирования обычаев делового оборота в договорной работе</w:t>
      </w:r>
    </w:p>
    <w:p w:rsidR="00CE387A" w:rsidRDefault="00C32370">
      <w:pPr>
        <w:spacing w:before="120"/>
        <w:ind w:firstLine="567"/>
        <w:jc w:val="both"/>
      </w:pPr>
      <w:r>
        <w:t>И.Г.Вахнин, ассистент кафедры коммерческого права и основ правоведения юридического факультета МГУ им. М.В.Ломоносова</w:t>
      </w:r>
    </w:p>
    <w:p w:rsidR="00CE387A" w:rsidRDefault="00C32370">
      <w:pPr>
        <w:spacing w:before="120"/>
        <w:ind w:firstLine="567"/>
        <w:jc w:val="both"/>
      </w:pPr>
      <w:r>
        <w:t>В период перехода к рыночной экономике в торговых отношениях постоянно  происходят изменения. Законодательство не успевает обновляться, вследствие  чего часто возникают несоответствия между теорией и практикой. Для восполнения  пробелов и государство, и участники отношений используют различные меры. С  указанной целью принимаются правовые акты, издаваемые исполнительной федеральной  властью. Это указы Президента Российской Федерации и постановления Правительства  Российской Федерации, а также многочисленные ведомственные нормативные правовые  акты. Все более значительную роль в этой области играют судебные разъяснения.</w:t>
      </w:r>
    </w:p>
    <w:p w:rsidR="00CE387A" w:rsidRDefault="00C32370">
      <w:pPr>
        <w:spacing w:before="120"/>
        <w:ind w:firstLine="567"/>
        <w:jc w:val="both"/>
      </w:pPr>
      <w:r>
        <w:t>Мнение о большом влиянии на формирование условий договоров актов обязательного  (нормативного) толкования законодательства, принимаемых высшими судебными  органами, высказывал, в частности, Е. А. Суханов *(1)  В ситуации существования многочисленных пробелов в законодательстве особого  рассмотрения заслуживают ненормативные источники права. В формировании обычаев  делового оборота велика роль практики судебных органов и усмотрения субъектов,  о чем и пойдет речь в настоящей статье.</w:t>
      </w:r>
    </w:p>
    <w:p w:rsidR="00CE387A" w:rsidRDefault="00C32370">
      <w:pPr>
        <w:spacing w:before="120"/>
        <w:ind w:firstLine="567"/>
        <w:jc w:val="both"/>
      </w:pPr>
      <w:r>
        <w:t>На Западе в распространении обычаев делового оборота особую роль сыграло  обособление интересов делового сообщества. Более того, нормы договорного права,  закрепленные и сконцентрированные в своде законодательных правил, применяемых  судами, не обязательно являются нормами делового сообщества. С повышением  степени обобщенности права и профессионализма законодателя увеличивается пропасть  между ними и действительностью мира бизнеса. Поэтому если предприниматели  и нуждаются в судах и ценят их как инструмент правовой защиты своих договоров  от потребителей, то "в своем собственном мире они предпочитают не затевать  судебные тяжбы вообще, или, если они вынуждены разрешить спор, обращаются  в третейские суды" *(2).</w:t>
      </w:r>
    </w:p>
    <w:p w:rsidR="00CE387A" w:rsidRDefault="00C32370">
      <w:pPr>
        <w:spacing w:before="120"/>
        <w:ind w:firstLine="567"/>
        <w:jc w:val="both"/>
      </w:pPr>
      <w:r>
        <w:t>Следует отметить, что в действующем законодательстве Российской Федерации  обычаем делового оборота признается сложившееся и широко применяемое в какой-либо  области предпринимательской деятельности правило поведения, не предусмотренное  законодательством, независимо от того, зафиксировано ли оно в каком-либо документе  (п. 1 ст. 5 ГК РФ). Таким образом, в ГК РФ получила закрепление точка зрения,  согласно которой, когда речь идет об обычае, суд или арбитраж руководствуются  не столько характером обычного поведения, сколько обращаются к правилу, созданному  таким поведением. Данное обстоятельство отмечается в работах И. С. Зыкина  и П. И. Лукина *(3). Можно в связи с этим утверждать, что содержание обычного  правила детерминируется порядком обычного поведения *(4).</w:t>
      </w:r>
    </w:p>
    <w:p w:rsidR="00CE387A" w:rsidRDefault="00C32370">
      <w:pPr>
        <w:spacing w:before="120"/>
        <w:ind w:firstLine="567"/>
        <w:jc w:val="both"/>
      </w:pPr>
      <w:r>
        <w:t>Тем не менее, большое значение имеет и наличие объективного носителя,  фиксирующего обычай: "В типовых договорах, общих условиях продажи, в типовых  оговорках отчасти находят свое отражение и обычаи, сложившиеся в соответствующей  отрасли торговли" *(5). Именно такой подход используется при анализе возникновения  обычая в международной торговой практике. Он получил закрепление и в ст.427  ГК РФ.</w:t>
      </w:r>
    </w:p>
    <w:p w:rsidR="00CE387A" w:rsidRDefault="00C32370">
      <w:pPr>
        <w:spacing w:before="120"/>
        <w:ind w:firstLine="567"/>
        <w:jc w:val="both"/>
      </w:pPr>
      <w:r>
        <w:t>Учеными-юристами по-разному оценивается роль типовых формуляров договоров  как носителей обычных правил. Как указывал Л. А. Лунц, "не следует смешивать  формуляры или типовые контракты с обычаями" *(6).</w:t>
      </w:r>
    </w:p>
    <w:p w:rsidR="00CE387A" w:rsidRDefault="00C32370">
      <w:pPr>
        <w:spacing w:before="120"/>
        <w:ind w:firstLine="567"/>
        <w:jc w:val="both"/>
      </w:pPr>
      <w:r>
        <w:t>Подобную точку зрения высказывает И. С. Зыкин: "Обычные правила носят  фрагментарный характер, поэтому в типовых договорах и общих условиях наряду  с положениями, отражающими в какой-то степени сложившиеся в данной сфере обычаи  и обыкновения, содержатся те, которые воспроизводят нормы закона или представляют  собой чисто договорные условия. Более того, документ, ранее точно отражавший  обычные правила, может в дальнейшем перестать соответствовать обычным условиям  торговли вследствие возникновения новых обычаев и обыкновений, пришедших на  смену старым" *(7).</w:t>
      </w:r>
    </w:p>
    <w:p w:rsidR="00CE387A" w:rsidRDefault="00C32370">
      <w:pPr>
        <w:spacing w:before="120"/>
        <w:ind w:firstLine="567"/>
        <w:jc w:val="both"/>
      </w:pPr>
      <w:r>
        <w:t>По мнению французского автора М. Педамона, "гораздо чаще имеет место  становление обычного правила без письменной фиксации его в контракте" *(8).</w:t>
      </w:r>
    </w:p>
    <w:p w:rsidR="00CE387A" w:rsidRDefault="00C32370">
      <w:pPr>
        <w:spacing w:before="120"/>
        <w:ind w:firstLine="567"/>
        <w:jc w:val="both"/>
      </w:pPr>
      <w:r>
        <w:t>Именно этим он объясняет неопределенный характер обычных правил.</w:t>
      </w:r>
    </w:p>
    <w:p w:rsidR="00CE387A" w:rsidRDefault="00C32370">
      <w:pPr>
        <w:spacing w:before="120"/>
        <w:ind w:firstLine="567"/>
        <w:jc w:val="both"/>
      </w:pPr>
      <w:r>
        <w:t>Многие исследователи отмечают также существенную роль третейского суда  (арбитража) как фактора, ограничивающего или расширяющего применение обычая.</w:t>
      </w:r>
    </w:p>
    <w:p w:rsidR="00CE387A" w:rsidRDefault="00C32370">
      <w:pPr>
        <w:spacing w:before="120"/>
        <w:ind w:firstLine="567"/>
        <w:jc w:val="both"/>
      </w:pPr>
      <w:r>
        <w:t>Непризнание арбитражем некоторого способа действий в качестве обычая препятствует  дальнейшему его распространению, и напротив санкционирование (констатация)  способствует дальнейшему его распространению и упрочению *(9).</w:t>
      </w:r>
    </w:p>
    <w:p w:rsidR="00CE387A" w:rsidRDefault="00C32370">
      <w:pPr>
        <w:spacing w:before="120"/>
        <w:ind w:firstLine="567"/>
        <w:jc w:val="both"/>
      </w:pPr>
      <w:r>
        <w:t>Проведенный автором в 1996 г. опрос специалистов крупной оптовой торговой  организации и трех ее дочерних обществ, входивших с систему Госснаба СССР,  выявил существенное влияние толкований арбитражного суда и разъяснений ведомственных  органов на определение условий договоров поставки продукции и товаров с целью  защиты контрагентов от действия факторов правовой и политической нестабильности.</w:t>
      </w:r>
    </w:p>
    <w:p w:rsidR="00CE387A" w:rsidRDefault="00C32370">
      <w:pPr>
        <w:spacing w:before="120"/>
        <w:ind w:firstLine="567"/>
        <w:jc w:val="both"/>
      </w:pPr>
      <w:r>
        <w:t>Также существует тенденция к формированию различных групп, объединенных деловыми  интересами интересами государства, интересами потребителей, и увеличению их  значения в правовом регулировании отношений оптовой купли-продажи. Указанные  результаты заставляют обратить внимание на возросшую роль обычаев делового  оборота как источников определения условий договоров.</w:t>
      </w:r>
    </w:p>
    <w:p w:rsidR="00CE387A" w:rsidRDefault="00C32370">
      <w:pPr>
        <w:spacing w:before="120"/>
        <w:ind w:firstLine="567"/>
        <w:jc w:val="both"/>
      </w:pPr>
      <w:r>
        <w:t>В настоящее время можно привести лишь несколько примеров использования  обычных правил в качестве торговых обычаев в оптовой купле-продаже, в основном  эти ситуации связаны с недочетами в правовом регулировании. Речь идет о широком  употреблении термина "франко", заимствованного из словаря "Инкотермс", для  определения базиса поставки в договорах между российскими юридическими лицами.</w:t>
      </w:r>
    </w:p>
    <w:p w:rsidR="00CE387A" w:rsidRDefault="00C32370">
      <w:pPr>
        <w:spacing w:before="120"/>
        <w:ind w:firstLine="567"/>
        <w:jc w:val="both"/>
      </w:pPr>
      <w:r>
        <w:t>Все чаще используются выработанные самими сторонами понятия ("франко-узел  учета", "франко-склад"), которые отсутствуют в последней редакции "Инкотермс"  (1990 г.).</w:t>
      </w:r>
    </w:p>
    <w:p w:rsidR="00CE387A" w:rsidRDefault="00C32370">
      <w:pPr>
        <w:spacing w:before="120"/>
        <w:ind w:firstLine="567"/>
        <w:jc w:val="both"/>
      </w:pPr>
      <w:r>
        <w:t>При подготовке условий договоров поставки нередко используются положения  Особых условий поставки различных видов товаров, утвержденных Госарбитражем  СССР. Содержание этого документа находит отражение в условиях некоторых договоров  или определяет условия обязательства по поставке как подразумеваемые, т.е. как сложившуюся между сторонами договора практику отношений. Наиболее часто  используются положения, в которых указаны: момент исполнения поставщиком обязанности  по передаче товара, содержание отгрузочной разнарядки или отгрузочных реквизитов  в тексте договора, порядок обязательного привлечения для участия в приемке  некондиционных товаров независимой экспертной организации и др.</w:t>
      </w:r>
    </w:p>
    <w:p w:rsidR="00CE387A" w:rsidRDefault="00C32370">
      <w:pPr>
        <w:spacing w:before="120"/>
        <w:ind w:firstLine="567"/>
        <w:jc w:val="both"/>
      </w:pPr>
      <w:r>
        <w:t>Тенденция возрастания роли обычаев делового оборота при составлении договоров  была отмечена и в литературе *(10).</w:t>
      </w:r>
    </w:p>
    <w:p w:rsidR="00CE387A" w:rsidRDefault="00C32370">
      <w:pPr>
        <w:spacing w:before="120"/>
        <w:ind w:firstLine="567"/>
        <w:jc w:val="both"/>
      </w:pPr>
      <w:r>
        <w:t>Исходя из изложенного, сформулируем причины этого процесса. К традиционным  основаниям следует отнести использование типовых формуляров (проформ) договоров,  возрастание роли третейских арбитражей и профессиональных ассоциаций. Перечисленные  факторы обусловлены относительным обособлением интересов делового мира.</w:t>
      </w:r>
    </w:p>
    <w:p w:rsidR="00CE387A" w:rsidRDefault="00C32370">
      <w:pPr>
        <w:spacing w:before="120"/>
        <w:ind w:firstLine="567"/>
        <w:jc w:val="both"/>
      </w:pPr>
      <w:r>
        <w:t>Макс Вебер отмечал, что "надежды (упования) сторон будут часто разочаровываться  результатами строго профессиональной юридической логики". Он видел "несовместимость  ... логически последовательного формального правового мышления и того факта,  что юридически уместные (относящиеся к делу) соглашения и деятельность частных  лиц имеют целью экономический результат и ориентированы на экономически определенные  ожидания (надежды)" *(11).</w:t>
      </w:r>
    </w:p>
    <w:p w:rsidR="00CE387A" w:rsidRDefault="00C32370">
      <w:pPr>
        <w:spacing w:before="120"/>
        <w:ind w:firstLine="567"/>
        <w:jc w:val="both"/>
      </w:pPr>
      <w:r>
        <w:t>А поскольку предприниматели имеют как волю (твердое намерение), так и  наличность, "они избегают таких видов юридической практики (судопроизводства),  при обращении к которым опасность быть подвергнутыми строгой профессиональной  юридической логике является значительной" *(12).</w:t>
      </w:r>
    </w:p>
    <w:p w:rsidR="00CE387A" w:rsidRDefault="00C32370">
      <w:pPr>
        <w:spacing w:before="120"/>
        <w:ind w:firstLine="567"/>
        <w:jc w:val="both"/>
      </w:pPr>
      <w:r>
        <w:t>Особенности формирования в России обычаев делового оборота и характер  существующих торговых отношений усиливают значение названных общих факторов.</w:t>
      </w:r>
    </w:p>
    <w:p w:rsidR="00CE387A" w:rsidRDefault="00C32370">
      <w:pPr>
        <w:spacing w:before="120"/>
        <w:ind w:firstLine="567"/>
        <w:jc w:val="both"/>
      </w:pPr>
      <w:r>
        <w:t>Нельзя не учитывать роли типовых договоров поставки товаров, распространенных  в советский период, а также положений упомянутых Особых условий поставки различных  видов товаров. Они продолжают использоваться как примерные формуляры для разработки  договоров поставки и в настоящее время, хотя уже не имеют обязательной юридической  силы.</w:t>
      </w:r>
    </w:p>
    <w:p w:rsidR="00CE387A" w:rsidRDefault="00C32370">
      <w:pPr>
        <w:spacing w:before="120"/>
        <w:ind w:firstLine="567"/>
        <w:jc w:val="both"/>
      </w:pPr>
      <w:r>
        <w:t>Поскольку значительное число лиц ориентируется на старые редакции текстов  договоров, постольку в силу влияния традиции возможно возникновение из текстов  договоров обычаев делового оборота. Это зависит от двух показателей:  а) общего количества лиц, их применяющих;  б) частоты их использования каждым отдельным лицом по соглашению со своим  контрагентом в качестве обязательных правил, регулирующих договорные отношения  между ними.</w:t>
      </w:r>
    </w:p>
    <w:p w:rsidR="00CE387A" w:rsidRDefault="00C32370">
      <w:pPr>
        <w:spacing w:before="120"/>
        <w:ind w:firstLine="567"/>
        <w:jc w:val="both"/>
      </w:pPr>
      <w:r>
        <w:t>Существенное значение для формирования обычаев делового оборота имеет  возникновение и распространение различных объединений по профессиональному  признаку. Их влияние на формирование обычая зависит от частоты использования  обычных положений в силу обязательности принятых в объединении правил для  каждого его участника, а также длительности их применения, что определяется  временем существования объединения.</w:t>
      </w:r>
    </w:p>
    <w:p w:rsidR="00CE387A" w:rsidRDefault="00C32370">
      <w:pPr>
        <w:spacing w:before="120"/>
        <w:ind w:firstLine="567"/>
        <w:jc w:val="both"/>
      </w:pPr>
      <w:r>
        <w:t>Первый показатель (охват лиц) влияет на формирование обычая при условии  вовлечения в упомянутые объединения значительного числа субъектов.</w:t>
      </w:r>
    </w:p>
    <w:p w:rsidR="00CE387A" w:rsidRDefault="00C32370">
      <w:pPr>
        <w:spacing w:before="120"/>
        <w:ind w:firstLine="567"/>
        <w:jc w:val="both"/>
      </w:pPr>
      <w:r>
        <w:t>Второй показатель (частота использования обычного правила в тех случаях,  когда он обычно (неоднократно) применяется в качестве обязательного правила  для одних и тех же сторон договора купли-продажи) характеризует его как торговое  обыкновение. В случае расширения числа лиц, использующих обычное правило в  качестве обыкновения в своих договорных отношениях, эти правила могут перерасти  в обычаи.</w:t>
      </w:r>
    </w:p>
    <w:p w:rsidR="00CE387A" w:rsidRDefault="00C32370">
      <w:pPr>
        <w:spacing w:before="120"/>
        <w:ind w:firstLine="567"/>
        <w:jc w:val="both"/>
      </w:pPr>
      <w:r>
        <w:t>Названная тенденция благоприятно влияет на формирование обычаев еще и  потому, что усилению роли факторов, определяющих формирование обычая, способствует  наличие третейских судов (арбитражей) при профессиональных объединениях. Немалое  значение имеет также стабильность существования самого объединения.</w:t>
      </w:r>
    </w:p>
    <w:p w:rsidR="00CE387A" w:rsidRDefault="00C32370">
      <w:pPr>
        <w:spacing w:before="120"/>
        <w:ind w:firstLine="567"/>
        <w:jc w:val="both"/>
      </w:pPr>
      <w:r>
        <w:t>Нельзя исключать возможности перерастания в торговые обычаи и правил  некоторых ведомственных правовых актов, имеющих долговременный характер. Значительное  влияние на формирование условий договоров поставки оказывают разъяснения федеральных  министерств и ведомств (Минфина России, Госналогслужбы РФ и др.), а также  Центрального банка РФ. Такие разъяснения прежде всего отражают интересы самих  ведомств и способствуют проведению ими своей политики, в том числе закрепляемой  в ведомственных актах, не прошедших регистрацию в Минюсте России. Таким образом,  роль ведомственного регулирования деятельности сторон договора, которая всегда  была значительна, неизменно высока, оно продолжает сохранять свое влияние.</w:t>
      </w:r>
    </w:p>
    <w:p w:rsidR="00CE387A" w:rsidRDefault="00C32370">
      <w:pPr>
        <w:spacing w:before="120"/>
        <w:ind w:firstLine="567"/>
        <w:jc w:val="both"/>
      </w:pPr>
      <w:r>
        <w:t>Поэтому те ведомственные разъяснения, которые являются приемлемыми для участников  торгового оборота и характеризуются долговременным характером применения,  могут превратиться в торговые обычаи.</w:t>
      </w:r>
    </w:p>
    <w:p w:rsidR="00CE387A" w:rsidRDefault="00C32370">
      <w:pPr>
        <w:spacing w:before="120"/>
        <w:ind w:firstLine="567"/>
        <w:jc w:val="both"/>
      </w:pPr>
      <w:r>
        <w:t>Можно предположить, что возрастание роли договора и стремление к сокращению  издержек (как прямых, так и косвенных, в том числе на подготовку проектов  и заключение договоров), а также возникновение различных крупных объединений  по профессиональному признаку, разрабатывающих договоры для своих структур,  приведут к ослаблению роли ведомственных актов при определении условий договора.</w:t>
      </w:r>
    </w:p>
    <w:p w:rsidR="00CE387A" w:rsidRDefault="00C32370">
      <w:pPr>
        <w:spacing w:before="120"/>
        <w:ind w:firstLine="567"/>
        <w:jc w:val="both"/>
      </w:pPr>
      <w:r>
        <w:t>На смену им могут прийти проформы договоров. Поэтому тенденция к увеличению  значения договора в целом еще не означает одновременного возрастания усмотрения  сторон при определении содержания договоров. Включение в число оснований выработки  условий договора помимо норм действующего законодательства также обычаев делового  оборота, в том числе в виде положений в текстах примерных договоров (проформ),  свидетельствует о множественности правовых источников, требующих учета при  определении содержания условий договоров и влияющих на работу по заключению  и исполнению договоров в целом.</w:t>
      </w:r>
    </w:p>
    <w:p w:rsidR="00CE387A" w:rsidRDefault="00C32370">
      <w:pPr>
        <w:spacing w:before="120"/>
        <w:ind w:firstLine="567"/>
        <w:jc w:val="both"/>
      </w:pPr>
      <w:r>
        <w:t>Особую роль в возрастании роли обычаев играет природа их формирования.</w:t>
      </w:r>
    </w:p>
    <w:p w:rsidR="00CE387A" w:rsidRDefault="00C32370">
      <w:pPr>
        <w:spacing w:before="120"/>
        <w:ind w:firstLine="567"/>
        <w:jc w:val="both"/>
      </w:pPr>
      <w:r>
        <w:t>Можно обратить внимание на следующий основной момент, ставящий обычаи делового  оборота в особое положение по отношению к уровням ограничения самостоятельности  сторон договора при определении его условий: формирование обычаев делового  оборота имеет объективный характер. Этот процесс, как было показано, не определяется  деятельностью какого-либо одного определенного субъекта правотворчества. Можно  сказать, что все субъекты делового оборота, принимающие некоторое обычно принятое  в практике деловых отношений правило за обязательное, являются субъектами  правотворчества в отношении торговых обычаев. При этом значительно, конечно,  влияние арбитража, но все же оно не является решающим.</w:t>
      </w:r>
    </w:p>
    <w:p w:rsidR="00CE387A" w:rsidRDefault="00C32370">
      <w:pPr>
        <w:spacing w:before="120"/>
        <w:ind w:firstLine="567"/>
        <w:jc w:val="both"/>
      </w:pPr>
      <w:r>
        <w:t>На основании всего сказанного можно выделить следующие отличительные  особенности обычаев делового оборота:  а) формирование обычаев приобретает статистический, объективный характер  *(13);  б) возможно существование обычая и при отсутствии его письменной формы;  в) в обычном правиле практически всегда отсутствует четко выраженная  нормативная структура правовой нормы (гипотеза, диспозиция, санкция); характер  предписания отсутствует, так как нет самого предписания.</w:t>
      </w:r>
    </w:p>
    <w:p w:rsidR="00CE387A" w:rsidRDefault="00C32370">
      <w:pPr>
        <w:spacing w:before="120"/>
        <w:ind w:firstLine="567"/>
        <w:jc w:val="both"/>
      </w:pPr>
      <w:r>
        <w:t>Однако важный вывод заключается в том, что нельзя, тем не менее, говорить  об отсутствии диспозитивности регулирования с помощью обычных правил. Сами  обычаи приобретают некую форму выражения общедозволительного (или общедиспозитивного)  характера договорных отношений *(14). Таким образом, стихийность формирования  обычаев делового оборота создает особую форму ненормативного правового источника  регулирования. Представляется возможным поставить его на самый низкий уровень  ограничения усмотрения сторон в определении условий договора, позволяющий  одновременно рассматривать его и как особый ненормативный правовой источник  ограничения усмотрения сторон. К данной рубрике он фактически отнесен п.5  ст. 421 ГК РФ и рядом других статей части второй Гражданского кодекса.</w:t>
      </w:r>
    </w:p>
    <w:p w:rsidR="00CE387A" w:rsidRDefault="00C32370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CE387A" w:rsidRDefault="00C32370">
      <w:pPr>
        <w:spacing w:before="120"/>
        <w:ind w:firstLine="567"/>
        <w:jc w:val="both"/>
        <w:rPr>
          <w:lang w:val="en-US"/>
        </w:rPr>
      </w:pPr>
      <w:r>
        <w:t>(1) Суханов Е. А. Развитие гражданского законодательства России при  переходе к рынку // Гражданское право России при переходе к рынку: Сб. науч. статей / Отв. ред. Е. А. Суханов. М</w:t>
      </w:r>
      <w:r>
        <w:rPr>
          <w:lang w:val="en-US"/>
        </w:rPr>
        <w:t xml:space="preserve">., 1995. </w:t>
      </w:r>
      <w:r>
        <w:t>С</w:t>
      </w:r>
      <w:r>
        <w:rPr>
          <w:lang w:val="en-US"/>
        </w:rPr>
        <w:t>.29.</w:t>
      </w:r>
    </w:p>
    <w:p w:rsidR="00CE387A" w:rsidRDefault="00C32370">
      <w:pPr>
        <w:spacing w:before="120"/>
        <w:ind w:firstLine="567"/>
        <w:jc w:val="both"/>
      </w:pPr>
      <w:r>
        <w:rPr>
          <w:lang w:val="en-US"/>
        </w:rPr>
        <w:t xml:space="preserve">*(2) Friedman L. M. Some General Consideration. The Impact of Large Scale  Business Enterprise upon Contracts // International Encyclopedia of Comparative  Law. </w:t>
      </w:r>
      <w:r>
        <w:t>Tubingen, 1974. Vol. VII (3). С.9.</w:t>
      </w:r>
    </w:p>
    <w:p w:rsidR="00CE387A" w:rsidRDefault="00C32370">
      <w:pPr>
        <w:spacing w:before="120"/>
        <w:ind w:firstLine="567"/>
        <w:jc w:val="both"/>
      </w:pPr>
      <w:r>
        <w:t>*(3) Зыкин И. С. Обычаи и обыкновения в международной торговле. М., 1983. С.13; см. также: Лукин П. И. Источники международного права. М., 1960. С.79.</w:t>
      </w:r>
    </w:p>
    <w:p w:rsidR="00CE387A" w:rsidRDefault="00C32370">
      <w:pPr>
        <w:spacing w:before="120"/>
        <w:ind w:firstLine="567"/>
        <w:jc w:val="both"/>
      </w:pPr>
      <w:r>
        <w:t>*(4) См.: Зыкин И. С. Указ. соч. С.14.</w:t>
      </w:r>
    </w:p>
    <w:p w:rsidR="00CE387A" w:rsidRDefault="00C32370">
      <w:pPr>
        <w:spacing w:before="120"/>
        <w:ind w:firstLine="567"/>
        <w:jc w:val="both"/>
      </w:pPr>
      <w:r>
        <w:t>*(5) Там же. С. 80; см. также: Май С.К. Очерк общей части буржуазного  обязательного права. М., 1953. С. 44.</w:t>
      </w:r>
    </w:p>
    <w:p w:rsidR="00CE387A" w:rsidRDefault="00C32370">
      <w:pPr>
        <w:spacing w:before="120"/>
        <w:ind w:firstLine="567"/>
        <w:jc w:val="both"/>
      </w:pPr>
      <w:r>
        <w:t>*(6) Лунц Л. А. Международное частное право. Особенная часть. М., 1975. С.216-217.</w:t>
      </w:r>
    </w:p>
    <w:p w:rsidR="00CE387A" w:rsidRDefault="00C32370">
      <w:pPr>
        <w:spacing w:before="120"/>
        <w:ind w:firstLine="567"/>
        <w:jc w:val="both"/>
        <w:rPr>
          <w:lang w:val="en-US"/>
        </w:rPr>
      </w:pPr>
      <w:r>
        <w:t>*(7) Зыкин И. С. Указ. соч. С</w:t>
      </w:r>
      <w:r>
        <w:rPr>
          <w:lang w:val="en-US"/>
        </w:rPr>
        <w:t>. 80.</w:t>
      </w:r>
    </w:p>
    <w:p w:rsidR="00CE387A" w:rsidRDefault="00C32370">
      <w:pPr>
        <w:spacing w:before="120"/>
        <w:ind w:firstLine="567"/>
        <w:jc w:val="both"/>
      </w:pPr>
      <w:r>
        <w:rPr>
          <w:lang w:val="en-US"/>
        </w:rPr>
        <w:t xml:space="preserve">*(8) </w:t>
      </w:r>
      <w:r>
        <w:t>Там</w:t>
      </w:r>
      <w:r>
        <w:rPr>
          <w:lang w:val="en-US"/>
        </w:rPr>
        <w:t xml:space="preserve"> </w:t>
      </w:r>
      <w:r>
        <w:t>же</w:t>
      </w:r>
      <w:r>
        <w:rPr>
          <w:lang w:val="en-US"/>
        </w:rPr>
        <w:t xml:space="preserve">. </w:t>
      </w:r>
      <w:r>
        <w:t>С</w:t>
      </w:r>
      <w:r>
        <w:rPr>
          <w:lang w:val="en-US"/>
        </w:rPr>
        <w:t xml:space="preserve">.78. </w:t>
      </w:r>
      <w:r>
        <w:t>См</w:t>
      </w:r>
      <w:r>
        <w:rPr>
          <w:lang w:val="en-US"/>
        </w:rPr>
        <w:t xml:space="preserve">. </w:t>
      </w:r>
      <w:r>
        <w:t>также</w:t>
      </w:r>
      <w:r>
        <w:rPr>
          <w:lang w:val="en-US"/>
        </w:rPr>
        <w:t xml:space="preserve">: Houin R., Pedamon M. Droit commercial. </w:t>
      </w:r>
      <w:r>
        <w:t>P., 1980. С. 350.</w:t>
      </w:r>
    </w:p>
    <w:p w:rsidR="00CE387A" w:rsidRDefault="00C32370">
      <w:pPr>
        <w:spacing w:before="120"/>
        <w:ind w:firstLine="567"/>
        <w:jc w:val="both"/>
      </w:pPr>
      <w:r>
        <w:t>*(9) Зыкин И. С. Указ. соч. С.81.</w:t>
      </w:r>
    </w:p>
    <w:p w:rsidR="00CE387A" w:rsidRDefault="00C32370">
      <w:pPr>
        <w:spacing w:before="120"/>
        <w:ind w:firstLine="567"/>
        <w:jc w:val="both"/>
        <w:rPr>
          <w:lang w:val="en-US"/>
        </w:rPr>
      </w:pPr>
      <w:r>
        <w:t xml:space="preserve">*(10) См., напр.: Витрянский В. В. Общие положения о договоре // Хозяйство  и право. </w:t>
      </w:r>
      <w:r>
        <w:rPr>
          <w:lang w:val="en-US"/>
        </w:rPr>
        <w:t xml:space="preserve">1995. N12; </w:t>
      </w:r>
      <w:r>
        <w:t>Суханов</w:t>
      </w:r>
      <w:r>
        <w:rPr>
          <w:lang w:val="en-US"/>
        </w:rPr>
        <w:t xml:space="preserve"> </w:t>
      </w:r>
      <w:r>
        <w:t>Е</w:t>
      </w:r>
      <w:r>
        <w:rPr>
          <w:lang w:val="en-US"/>
        </w:rPr>
        <w:t xml:space="preserve">. </w:t>
      </w:r>
      <w:r>
        <w:t>А</w:t>
      </w:r>
      <w:r>
        <w:rPr>
          <w:lang w:val="en-US"/>
        </w:rPr>
        <w:t xml:space="preserve">. </w:t>
      </w:r>
      <w:r>
        <w:t>Указ</w:t>
      </w:r>
      <w:r>
        <w:rPr>
          <w:lang w:val="en-US"/>
        </w:rPr>
        <w:t xml:space="preserve"> </w:t>
      </w:r>
      <w:r>
        <w:t>соч</w:t>
      </w:r>
      <w:r>
        <w:rPr>
          <w:lang w:val="en-US"/>
        </w:rPr>
        <w:t xml:space="preserve">. </w:t>
      </w:r>
      <w:r>
        <w:t>С</w:t>
      </w:r>
      <w:r>
        <w:rPr>
          <w:lang w:val="en-US"/>
        </w:rPr>
        <w:t>.29.</w:t>
      </w:r>
    </w:p>
    <w:p w:rsidR="00CE387A" w:rsidRDefault="00C32370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*(11) Weber M. </w:t>
      </w:r>
      <w:r>
        <w:t>О</w:t>
      </w:r>
      <w:r>
        <w:rPr>
          <w:lang w:val="en-US"/>
        </w:rPr>
        <w:t xml:space="preserve">n Law in Economy and Society. Cambrige, 1954. </w:t>
      </w:r>
      <w:r>
        <w:t>Р</w:t>
      </w:r>
      <w:r>
        <w:rPr>
          <w:lang w:val="en-US"/>
        </w:rPr>
        <w:t>. 307-308.</w:t>
      </w:r>
    </w:p>
    <w:p w:rsidR="00CE387A" w:rsidRDefault="00C32370">
      <w:pPr>
        <w:spacing w:before="120"/>
        <w:ind w:firstLine="567"/>
        <w:jc w:val="both"/>
      </w:pPr>
      <w:r>
        <w:rPr>
          <w:lang w:val="en-US"/>
        </w:rPr>
        <w:t xml:space="preserve">*(12) Friedman L. M. Op. cit. </w:t>
      </w:r>
      <w:r>
        <w:t>С.9.</w:t>
      </w:r>
    </w:p>
    <w:p w:rsidR="00CE387A" w:rsidRDefault="00C32370">
      <w:pPr>
        <w:spacing w:before="120"/>
        <w:ind w:firstLine="567"/>
        <w:jc w:val="both"/>
      </w:pPr>
      <w:r>
        <w:t>*(13) Свойство объективного формирования теоретически позволяет относить  обычаи делового оборота к более высокому уровню в иерархии источников права  при регулировании договорных отношений по сравнению с ведомственными нормативными  правовыми актами. С точки зрения социологического подхода к формированию частного  права, правотворческая инициатива участников делового оборота должна иметь  приоритет над инициативой ведомственной. Тем не менее, ГК РФ в п. 5 ст. 421  устанавливает иную последовательность.</w:t>
      </w:r>
    </w:p>
    <w:p w:rsidR="00CE387A" w:rsidRDefault="00C32370">
      <w:pPr>
        <w:spacing w:before="120"/>
        <w:ind w:firstLine="567"/>
        <w:jc w:val="both"/>
      </w:pPr>
      <w:r>
        <w:t xml:space="preserve">*(14) Алексеев С. С. Общая теория права. М.,1982. Т.2. С.75. </w:t>
      </w:r>
    </w:p>
    <w:p w:rsidR="00CE387A" w:rsidRDefault="00CE387A">
      <w:bookmarkStart w:id="0" w:name="_GoBack"/>
      <w:bookmarkEnd w:id="0"/>
    </w:p>
    <w:sectPr w:rsidR="00CE387A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70"/>
    <w:rsid w:val="00753C7F"/>
    <w:rsid w:val="00C32370"/>
    <w:rsid w:val="00C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3DCBB-9B02-4C0D-A6B5-E8DB3B3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2319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2014-05-16T01:57:00Z</dcterms:created>
  <dcterms:modified xsi:type="dcterms:W3CDTF">2014-05-16T01:57:00Z</dcterms:modified>
</cp:coreProperties>
</file>