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09E" w:rsidRPr="0030709E" w:rsidRDefault="003B395D" w:rsidP="0030709E">
      <w:pPr>
        <w:pStyle w:val="ConsPlusTitle"/>
        <w:widowControl/>
        <w:spacing w:line="360" w:lineRule="auto"/>
        <w:jc w:val="center"/>
        <w:rPr>
          <w:rFonts w:ascii="Times New Roman" w:hAnsi="Times New Roman" w:cs="Times New Roman"/>
          <w:sz w:val="28"/>
          <w:szCs w:val="28"/>
        </w:rPr>
      </w:pPr>
      <w:r w:rsidRPr="0030709E">
        <w:rPr>
          <w:rFonts w:ascii="Times New Roman" w:hAnsi="Times New Roman" w:cs="Times New Roman"/>
          <w:sz w:val="28"/>
          <w:szCs w:val="28"/>
        </w:rPr>
        <w:t>Особенности и проблемы правового регулирования</w:t>
      </w:r>
      <w:r w:rsidRPr="003B395D">
        <w:rPr>
          <w:rFonts w:ascii="Times New Roman" w:hAnsi="Times New Roman" w:cs="Times New Roman"/>
          <w:sz w:val="28"/>
          <w:szCs w:val="28"/>
        </w:rPr>
        <w:t xml:space="preserve"> </w:t>
      </w:r>
      <w:r w:rsidR="00E21F7E">
        <w:rPr>
          <w:rFonts w:ascii="Times New Roman" w:hAnsi="Times New Roman" w:cs="Times New Roman"/>
          <w:sz w:val="28"/>
          <w:szCs w:val="28"/>
        </w:rPr>
        <w:t>аудита Центрального банка Р</w:t>
      </w:r>
      <w:r w:rsidRPr="0030709E">
        <w:rPr>
          <w:rFonts w:ascii="Times New Roman" w:hAnsi="Times New Roman" w:cs="Times New Roman"/>
          <w:sz w:val="28"/>
          <w:szCs w:val="28"/>
        </w:rPr>
        <w:t xml:space="preserve">оссийской </w:t>
      </w:r>
      <w:r w:rsidR="00E21F7E">
        <w:rPr>
          <w:rFonts w:ascii="Times New Roman" w:hAnsi="Times New Roman" w:cs="Times New Roman"/>
          <w:sz w:val="28"/>
          <w:szCs w:val="28"/>
        </w:rPr>
        <w:t>Ф</w:t>
      </w:r>
      <w:r w:rsidRPr="0030709E">
        <w:rPr>
          <w:rFonts w:ascii="Times New Roman" w:hAnsi="Times New Roman" w:cs="Times New Roman"/>
          <w:sz w:val="28"/>
          <w:szCs w:val="28"/>
        </w:rPr>
        <w:t>едерации</w:t>
      </w:r>
    </w:p>
    <w:p w:rsidR="0030709E" w:rsidRPr="0030709E" w:rsidRDefault="0030709E" w:rsidP="0030709E">
      <w:pPr>
        <w:pStyle w:val="ConsPlusTitle"/>
        <w:widowControl/>
        <w:spacing w:line="360" w:lineRule="auto"/>
        <w:jc w:val="center"/>
        <w:rPr>
          <w:rFonts w:ascii="Times New Roman" w:hAnsi="Times New Roman" w:cs="Times New Roman"/>
          <w:sz w:val="28"/>
          <w:szCs w:val="28"/>
        </w:rPr>
      </w:pPr>
    </w:p>
    <w:p w:rsidR="0030709E" w:rsidRPr="0030709E" w:rsidRDefault="0030709E" w:rsidP="0030709E">
      <w:pPr>
        <w:pStyle w:val="ConsPlusNonformat"/>
        <w:widowControl/>
        <w:spacing w:line="360" w:lineRule="auto"/>
        <w:rPr>
          <w:rFonts w:ascii="Times New Roman" w:hAnsi="Times New Roman" w:cs="Times New Roman"/>
          <w:sz w:val="28"/>
          <w:szCs w:val="28"/>
        </w:rPr>
      </w:pP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В соответствии с Конституцией Российской Федерации основной функцией Центрального банка Российской Федерации является защита и обеспечение устойчивости рубля, и эту функцию он осуществляет независимо от других</w:t>
      </w:r>
      <w:r w:rsidR="00E21F7E">
        <w:rPr>
          <w:rFonts w:ascii="Times New Roman" w:hAnsi="Times New Roman" w:cs="Times New Roman"/>
          <w:sz w:val="28"/>
          <w:szCs w:val="28"/>
        </w:rPr>
        <w:t xml:space="preserve"> органов государственной власти</w:t>
      </w:r>
      <w:r w:rsidRPr="0030709E">
        <w:rPr>
          <w:rFonts w:ascii="Times New Roman" w:hAnsi="Times New Roman" w:cs="Times New Roman"/>
          <w:sz w:val="28"/>
          <w:szCs w:val="28"/>
        </w:rPr>
        <w:t>. Законом установлено, что Банк России в пределах полномочий, предоставленных ему Конституцией Российской Федерации и федеральными законами, независим в своей деятельности. Органы государственной власти и местного самоуправления не имеют права вмешиваться в деятельность Банка России по реализации его законодательно закрепленных функций и полномочий.</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Центральный банк играет важную роль в бюджетном процессе, где он определен в качестве органа д</w:t>
      </w:r>
      <w:r w:rsidR="00E21F7E">
        <w:rPr>
          <w:rFonts w:ascii="Times New Roman" w:hAnsi="Times New Roman" w:cs="Times New Roman"/>
          <w:sz w:val="28"/>
          <w:szCs w:val="28"/>
        </w:rPr>
        <w:t>енежно-кредитного регулирования</w:t>
      </w:r>
      <w:r w:rsidRPr="0030709E">
        <w:rPr>
          <w:rFonts w:ascii="Times New Roman" w:hAnsi="Times New Roman" w:cs="Times New Roman"/>
          <w:sz w:val="28"/>
          <w:szCs w:val="28"/>
        </w:rPr>
        <w:t>. В соответствии с этим статусом он совместно с Правительством Российской Федерации разрабатывает и представляет на рассмотрение Государственной Думы основные направления денежно-кредитной политики, а также обслуживает счета бюджетов и осуществляет функции генерального агента по государственным ценным бумагам .</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В то же время Центральный банк в России исторически и фактически является государственным учреждением, одним из ключевых звеньев системы государственного регулирования экономических процессов. Это отражено в том числе в конституционной процедуре назначения руководства Банка России. Председатель Банка назначается на должность и освобождается от должности Государственной Думой по представлению Президента</w:t>
      </w:r>
      <w:r w:rsidR="00E21F7E">
        <w:rPr>
          <w:rFonts w:ascii="Times New Roman" w:hAnsi="Times New Roman" w:cs="Times New Roman"/>
          <w:sz w:val="28"/>
          <w:szCs w:val="28"/>
        </w:rPr>
        <w:t xml:space="preserve"> Российской Федерации</w:t>
      </w:r>
      <w:r w:rsidRPr="0030709E">
        <w:rPr>
          <w:rFonts w:ascii="Times New Roman" w:hAnsi="Times New Roman" w:cs="Times New Roman"/>
          <w:sz w:val="28"/>
          <w:szCs w:val="28"/>
        </w:rPr>
        <w:t>. Члены Совета директоров Банка России также назначаются на должность и освобождаются от должности Государственной Думой.</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Статус, задачи, функции, полномочия и принципы организации деятельности Банка России определены Федеральным законом "О Центральном банке Российской Федерации (Банке России)".</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Уставный капитал и иное имущество Банка России являются федеральной собственностью. Банк России осуществляет лишь полномочия по владению, пользованию и распоряжению этой собственностью .</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Банк России в своей деятельности подотчетен Государственной Думе Федерального Собрания Российской Федерации . Подотчетность означает, помимо организационных вопросов, следующее:</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1. Представление на рассмотрение Государственной Думе годового отчета Банка России, а также аудиторского заключения.</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2. Определение Государственной Думой аудиторской фирмы для проведения аудиторской проверки Банка России.</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3. Проведение парламентских слушаний о деятельности Банка России.</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4. Доклады Председателя Банка России Государственной Думе о деятельности Банка России два раза в год - при представлении годового отчета и при рассмотрении и утверждении основных направлений единой государственной денежно-кредитной политики .</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Ежегодно, не позднее 15 мая, Банк России представляет Государственной Думе годовой отчет, который включает собственно отчет о деятельности Банка в истекшем году, годовой баланс, счет прибылей и убытков, распределение прибыли, порядок формирования и направления использования резервов и фондов Банка, а также аудиторское заключение по годовому отчету. Государственная Дума рассматривает годовой отчет Банка России в срок до 1 июля и по итогам рассмотрения принимает решение .</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Поскольку законом установлено, что Банк России должен перечислять в федеральный бюджет 50% фактически полученной по</w:t>
      </w:r>
      <w:r w:rsidR="00E21F7E">
        <w:rPr>
          <w:rFonts w:ascii="Times New Roman" w:hAnsi="Times New Roman" w:cs="Times New Roman"/>
          <w:sz w:val="28"/>
          <w:szCs w:val="28"/>
        </w:rPr>
        <w:t xml:space="preserve"> итогам года балансовой прибыли</w:t>
      </w:r>
      <w:r w:rsidRPr="0030709E">
        <w:rPr>
          <w:rFonts w:ascii="Times New Roman" w:hAnsi="Times New Roman" w:cs="Times New Roman"/>
          <w:sz w:val="28"/>
          <w:szCs w:val="28"/>
        </w:rPr>
        <w:t>, ежегодный аудит Банка особенно важен для установления реальной величины этой прибыли.</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Таким образом, при обеспечении независимости Банка России в вопросах общегосударственного значения законодательно определяется необходимость прозрачности (транспарентности) его финансово-хозяйственной деятельности, а одним из основных инструментов достижения этого является ежегодный обязательный аудит Центрального банка Российской Федерации.</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Несмотря на наличие хорошо организованной системы внутреннего аудита, обязательный ежегодный внешний аудит является основной формой контроля за деятельностью Центрального банка. Главной особенностью организации внешнего аудита Банка России является то, что аудитора выбирает не сам Банк, а Государственная Дума, при этом непосредственно осуществление аудита проходит на основе договора гражданско-правового характера и за счет Центрального банка. Кроме того, в аудите Банка участвует Счетная палата Российской Федерации. В остальном непосредственный процесс проведения аудита Банка России подпадает под действие Федерального закона "Об аудиторской деятельности" от 7 августа 2001 г. N 119-ФЗ.</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Государственная Дума до завершения отчетного года принимает решение об аудите Банка России и определяет аудиторскую фирму, имеющую лицензию на осуществление банковского аудита на территории Российской Федерации. Это положение содержится и в Законе о Центральном банке (ст. 93), и в Регламенте Государственной Думы (см. ст. 175, ч. 1 Регламента Государственной Думы Федерального Собрания Российской Федерации, утвержденного Постановлением Государственной Думы от 22.01.1998 N 2134-II ГД).</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В соответствии с регламентом рекомендации по назначению аудиторской фирмы - аудитора Банка России вносит на рассмотрение Государственной Думы Комитет по бюджету и налогам. В целях подготовки указанных рекомендаций Комитет по бюджету и налогам с привлечением представителя Счетной палаты Российской Федерации образует Комиссию по организации аудиторской проверки годового отчета Банка России. Комиссия действует на основе утверждаемого Комитетом Положения об организации проведения аудиторской проверки годового отчета Центрального банка.</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Комиссия по организации аудиторской проверки годового отчета Банка России организует и проводит конкурс на право проведения аудита Банка России за текущий год. У аудиторских фирм, изъявивших желание участвовать в конкурсе, кроме обязательного требования - наличия лицензии на проведение банковского аудита на территории Российской Федерации, Комиссия дополнительно запрашивает информацию о международном опыте аудиторской фирмы, включая сведения о проведении ею аудиторских проверок центральных эмиссионных (резервных) банков иностранных государств и их оплате, о возможностях аудиторской фирмы по предоставлению Банку России услуг, обычно предоставляемых центральным эмиссионным (резервным) банкам иностранных государств, и их стоимости. Кроме того, аудиторская фирма должна предоставить информацию об основных принципах, методологии и организации проведения аудита Банка России, об ориентировочных сроках и плане проведения аудита, о его предполагаемой стоимости, о руководителях, сотрудниках и привлеченных специалистах, которые будут непосредственно осуществлять аудит, а также о принципах организации взаимоотношений аудиторской фирмы с Государственной Думой. После рассмотрения представленной аудиторскими фирмами информации и по результатам собеседования со всеми аудиторскими фирмами - претендентами Комиссия вносит рекомендации об определении аудитора Банка России на рассмотрение Комитета по бюджету и налогам, в которых указывает аудиторскую фирму - победительницу конкурса. Комиссия также вносит на рассмотрение Комитета проект постановления Государственной Думы, который наряду с рекомендациями об определении аудитора может содержать рекомендации Центральному банку по подготовке годового отчета и аудитору по подготовке аудиторского заключения по годовому отчету Банка России. После рассмотрения на Комитете по бюджету и налогам соответствующий проект постановления направляется в Совет Государственной Думы.</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Государственная Дума рассматривает данный вопрос до 1 ноября отчетного года и принимает Постановление "Об аудиторе Центрального банка Российской Федерации по годовому отчету Центрального банка Российской Федерации", в котором определяет аудиторскую фирму по годовому отчету Банка России (по отчету за 2001 год - "Юникон/МС Консультационная группа") и дает поручение Комитету Государственной Думы по бюджету и налогам подготовить рекомендации аудитору Банка России по годовому отчету Банка России .</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Утвержденный аудитор Центрального банка в установленные сроки представляет Комиссии для согласования план проведения аудиторской проверки и консультаций с Комиссией по организации ее проведения, составленный в соответствии со статьей 25 Федерального закона "О Центральном банке Российской Федерации (Банке России)". После одобрения плана Комиссией и Комитетом по бюджету и налогам в ходе аудиторской проверки в него могут вноситься уточнения, подлежащие согласованию с Комиссией. В ходе аудита аудитор и Банк России по мере необходимости проводят консультации с Комиссией, а также вправе обращаться в Комиссию с просьбами об оказании содействия в урегулировании спорных вопросов, возникающих в их взаимоотношениях.</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Аудитор информирует Комиссию о подготовке договора с Банком России о проведении аудита и о заключении данного договора.</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Банк России в соответствии с заключенным с аудиторской фирмой договором обязан представлять отчетность и информацию, необходимую для проведения аудиторской проверки. В договоре оговаривается объем передаваемой информации, а также ответственность за передачу полученной информации третьим лицам. Оплата услуг аудиторской фирмы производится за счет собственных средств Банка России .</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Содержание договора и конкретных действий аудитора определяются в первую очередь рекомендациями по аудиторской проверке Банка России на соответствующий год, которые утверждаются Государственной Думой .</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Как правило, в аудиторском заключении по годовому отчету Банка России должны быть освещены следующие вопросы:</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1. Структура и содержание годового отчета Банка России с точки зрения полноты и достоверности информации о деятельности Банка и реализации им функций, возложенных на него законодательством Российской Федерации, а также информация о сводном бухгалтерском балансе за отчетный год в полном объеме с учетом внебалансовых счетов.</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2. Выполнение в отчетном финансовом году основных параметров единой государственной денежно-кредитной политики, взаимодействие Банка России и Правительства Российской Федерации в области экономической и денежно-кредитной политики, кредитование Банком Правительства, принципы и практика осуществления мер по корректировке уровня ликвидности, инструменты денежно-кредитной политики, критерии их отбора и эффективность применения.</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3. Соблюдение Банком России требований Федерального закона "О Центральном банке Российской Федерации (Банке России)", законодательства Российской Федерации при проведении активных операций на финансово-кредитных рынках, в том числе:</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 операций Банка России с ценными бумагами Российской Федерации и ценными бумагами иностранных государств, векселями и другими ценными бумагами (анализ структуры, динамики и доходности вложений в ценные бумаги и их влияние на финансовые результаты деятельности Банка);</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 операций по предоставлению кредитов и размещению депозитов (анализ структуры и динамики задолженности с выделением просроченной задолженности по кредитам, выданным коммерческим банкам, сроков и перспектив их возврата, объемов и качества обеспечения, эффективности их использования, доходности операций);</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 операций по вложениям в капитал кредитно-финансовых организаций, созданных с участием Банка России, и участию в их деятельности (с указанием источников вложений Банка в уставные капиталы кредитных и других организаций, расположенных как на территории России, так и за рубежом, и с анализом балансов и отчетов о прибылях и убытках этих организаций), операций по увеличению (уменьшению) вложений в капиталы банков и других организаций (с оценкой критериев и практики, а также эффективности деятельности Банка России по управлению пакетами акций кредитных организаций, созданных на территории иностранных государств);</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 операций по предоставлению кредитов и размещению депозитов Банка России в кредитно-финансовых организациях, созданных с его участием.</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4. Соблюдение Банком России требований законодательства Российской Федерации при проведении операций с валютными резервами Российской Федерации, в том числе:</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 наличие утвержденных нормативных документов по управлению валютными резервами;</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 принципы размещения Банком России валютных резервов с анализом доходности операций по размещению валютных резервов в сравнении с мировой практикой, деятельности по размещению депозитов в иностранной валюте в банках-резидентах.</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5. Соблюдение Банком требований Федерального закона "О Центральном банке Российской Федерации (Банке России)", законодательства Российской Федерации при проведении пассивных операций, в том числе:</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 операций по привлечению средств кредитных организаций с анализом структуры и динамики средств на счетах в Банке России, в том числе привлеченных средств кредитных организаций;</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 принципов формирования и использования фондов, резервов и провизий Банка России.</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6. Принципы учетной политики Банка России и практика ее реализации, соответствие учетной политики Банка требованиям законодательства Российской Федерации, в том числе соответствие действующего порядка исчисления финансовых результатов деятельности Банка (прибылей и убытков) требованиям статьи 10 Федерального закона "О Центральном банке Российской Федерации (Банке России)", а также расчет прибыли Банка за отчетный год, перечень расходных операций, осуществленных в счет уменьшения доходов отчетного периода, подготовка Банка России к переходу на международные стандарты финансовой отчетности.</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7. Анализ структуры и динамики доходов Банка России, в том числе процентных доходов по кредитам и депозитам, доходов от операций с ценными бумагами, прочих доходов, анализ структуры и динамики расходов Банка, в том числе процентных расходов по кредитам и депозитам, расходов на организацию наличного денежного обращения, расходов на создание провизий, прочих операционных расходов, расходов на содержание персонала.</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8. Капитальное строительство, осуществляемое Банком, и его отражение в финансовой отчетности Банка.</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9. Система оплаты труда, пенсионное, медицинское и другие формы социального обеспечения и страхования служащих Банка России.</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После окончания аудита Банка России Комитет по бюджету и налогам рассматривает аудиторское заключение в рамках обсуждения годового отчета Банка России, который представляется Банком Государственной Думе не позднее 15 мая года, следующего за отчетным. По результатам обсуждения годового отчета Комитет готовит соответствующие рекомендации и направляет в Совет Думы проект постановления Государственной Думы. Государственная Дума до 1 июля года, следующего за отчетным, рассматривает годовой отчет Центрального банка Российской Федерации и принимает соответствующее решение.</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Одно из ключевых мест при проведении аудита Банка России отводится Счетной палате Российской Федерации. Законодательством Российской Федерации, определяющим статус, функции, полномочия и принципы деятельности Банка России, роль и место Счетной палаты как постоянно действующего органа финансового контроля в отношении Банка России не определены. Вместе с тем Федеральным законом "О Счетной палате Российской Федерации" установлены определенные полномочия Счетной палаты в отношении контроля за деятельностью банковской системы Российской Федерации.</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Одной из задач Счетной палаты является контроль за законностью и своевременностью движения средств федерального бюджета и средств федеральных внебюджетных фондов в Банке России, уполномоченных банках и иных финансово-кредитных учреждениях Российской Федерации .</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Область действия контрольных полномочий Счетной палаты согласно Закону распространяется, с одной стороны, на все государственные органы (в том числе их аппараты) и учреждения в Российской Федерации, а с другой стороны - на банки и другие финансово-кредитные учреждения вне зависимости от видов и форм собственности, если они получают, перечисляют, используют средства из федерального бюджета или используют федеральную собственность либо управляют ею, а также имеют предоставленные федеральным законодательством или федеральными органами государственной власти налоговые, таможенные и иные льготы и преимущества . Банк России, который является государственным органом, обслуживает бюджетные счета, использует федеральную собственность и освобожден от налогов, безусловно подпадает под все установленные Законом признаки объекта контроля Счетной палаты Российской Федерации. Кроме того, Законом прямо установлено, что по требованию Счетной палаты Центральный банк обязан предоставлять ей информацию, необходимую для обеспечения ее деятельности . А в сферу непосредственной деятельности Счетной палаты входит контроль за деятельностью Банка России, его структурных подразделений, других банков и кредитно-финансовых учреждений в части обслуживания ими федерального бюджета, а также контроль за деятельностью Банка России по обслуживанию государственного долга Российской Федерации .</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Вместе с тем по сложившейся практике участие Счетной палаты в аудите Банка России не является плановым контрольным мероприятием, а каждый год определяется решением Государственной Думы.</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Государственная Дума в своем Постановлении "Об аудиторе Центрального банка Российской Федерации по годовому отчету Центрального банка Российской Федерации" дает поручение Счетной Палате Российской Федерации во взаимодействии с аудитором Банка России по годовому отчету Банка России провести проверку счетов и операций Банка России, на которые распространяются действия Закона Российской Федерации "О государственной тайне" от 21 июля 1993 г. N 5485-1.</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На основании этого поручения Коллегия Счетной палаты вносит данное контрольное мероприятие в план работы Палаты на текущий год и утверждает программу проведения проверки.</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Объектом проверки Банка России Счетной палатой по счетам и операциям, подпадающим под действия Федерального закона "О государственной тайне", являются следующие документы и материалы:</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 нормативные и распорядительные документы Банка по отнесению сведений к указанной категории, в том числе в части счетов Банка России, операций Банка и сведений, отнесенных к данной категории по совокупности;</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 нормативные и распорядительные документы Банка, определяющие порядок совершения соответствующих операций и их отражения по соответствующим счетам;</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 бухгалтерский учет по соответствующим балансовым счетам Банка, его структурных подразделений и территориальных учреждений, документы синтетического и аналитического учета по этим счетам;</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 бухгалтерский учет по соответствующим внебалансовым счетам Банка, его структурных подразделений и территориальных учреждений, документы синтетического и аналитического учета по этим счетам;</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 бухгалтерский учет по балансовым и внебалансовым счетам Банка, его структурных подразделений и территориальных учреждений, корреспондирующих со счетами, на которые распространяется действие Закона о государственной тайне, документы синтетического и аналитического учета по этим счетам;</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 нормативные, инструктивные и распорядительные документы Банка, определяющие порядок совершения операций по соответствующим счетам, порядок совершения отдельных операций, на которые распространяется действие Закона о государственной тайне, документы синтетического и аналитического учета, а также поквартального и годового бухгалтерских учетов по балансовым счетам данных операций;</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 поквартальная и годовая консолидированная бухгалтерская и финансовая отчетность Департамента эмиссионно-кассовых операций и территориальных учреждений Банка в части эмиссионных операций;</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 поквартальная и годовая консолидированная бухгалтерская и финансовая отчетность Департамента полевых учреждений Банка и отчетность полевых учреждений, на основе которой составлена консолидированная отчетность Департамента, а также документы синтетического и аналитического учета территориальных учреждений Банка, входящих в систему полевых учреждений;</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 документы синтетического и аналитического учета по счетам и операциям, отнесенным Банком к подпадающим под действие Закона о государственной тайне по совокупности сведений и иным основаниям, документы поквартального и годового бухгалтерских учетов по балансовым счетам по учету данных операций.</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Перечень сведений (счетов и операций) Банка России, подпадающих под действие Закона Российской Федерации "О государственной тайне", определяется:</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 "Развернутым перечнем сведений, подлежащих засекречиванию в системе Банка России", утвержденным указанием Банка России от 22 марта 1999 г. N 518-У;</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 указанием Банка России "О внесении изменений и дополнений в утвержденный перечень сведений, подлежащих засекречиванию в системе Банка России" от 6 января 2000 г. N 728-У;</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 указанием Банка России "О внесении изменений в "Развернутый перечень сведений, подлежащих засекречиванию в системе Банка России" от 15 ноября 2001 г. N 1052-У.</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В области эмиссионно-кассовой деятельности Банка России проводится ее проверка за соответствующий период и ее соответствия действующим нормативным и инструктивным документам в части работы резервных фондов, проверка полноты и достоверности аналитического, синтетического и внебалансового учетов Департамента эмиссионно-кассовых операций по эмиссионным операциям, организации и совершения эмиссионно-кассовых операций территориальными учреждениями Банка России, а также расходов, связанных с изготовлением и уничтожением банкнот. Осуществляется проверка достоверности учета и эффективности системы мер по обеспечению сохранности резервных фондов банкнот, подтверждение суммы "деньги в обращении" на основании эмиссионно-кассовых операций Банка, подтверждение годовых баланса и отчета о доходах и расходах Департамента эмиссионно-кассовых операций в части эмиссионно-кассовых операций по соответствующим внебалансовым счетам. Большое значение отводится анализу системы внутреннего контроля в Департаменте эмиссионно-кассовых операций.</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По операциям Банка России с драгоценными металлами проводится проверка полноты и достоверности аналитического, синтетического и внебалансового учета по операциям с драгоценными металлами и монетами из драгоценных металлов, их соответствия нормативным и инструктивным документам, проверка достоверности учета и эффективности системы мер по обеспечению сохранности драгоценных металлов и монет из драгоценных металлов, проверка доходов и расходов Банка России, связанных с операциями с драгоценными металлами и монетами из драгоценных металлов. Итогом контрольных мероприятий является подтверждение годовых баланса и отчета о доходах и расходах Департамента эмиссионно-кассовых операций в части операций с драгоценными металлами и монетами из драгоценных металлов.</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В ходе аудита Счетная палата осуществляет документальную проверку бухгалтерской и финансовой отчетности Департамента полевых учреждений Банка России и отдельных полевых учреждений, анализирует порядок формирования отчета о доходах и расходах Департамента и его соответствие нормативным документам Банка, исполнение сметы Департамента и системы полевых учреждений, проверяет эмиссионно-кассовую деятельность и систему внутреннего контроля Департамента и непосредственно полевых учреждений.</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По результатам аудита, проводимого Счетной палатой по счетам и операциям Банка России, на которые распространяются действия Закона Российской Федерации "О государственной тайне", Коллегия Счетной палаты утверждает заключение, которое включается в текст годового отчета Банка России.</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Таким образом, реальная практика, здравый смысл и государственные интересы диктуют необходимость однозначного законодательного закрепления полномочий Счетной палаты в отношении контроля за некоторыми аспектами деятельности Центрального банка Российской Федерации.</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В этой связи заслуживают серьезного внимания предложения о внесении соответствующих изменений в Федеральные законы "О Центральном банке Российской Федерации (Банке России)" и "О Счетной палате Российской Федерации".</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В первую очередь это касается наделения Национального банковского совета правом внесения в Государственную Думу предложений о проведении проверки Счетной палатой Российской Федерации финансово-хозяйственной деятельности Банка России, его структурных подразделений и учреждений. На основании этих предложений Государственная Дума уполномочена дать соответствующее поручение Счетной палате. В Закон о Счетной палате в этом случае должна быть внесена симметричная поправка, однозначно определяющая ее право осуществлять подобные проверки. Такой подход, на наш взгляд, является достаточно сбалансированным и не создаст препятствий для эффективной реализации Банком России его основных, государственно-значимых функций.</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Далее, в отношении ежегодного аудита Центрального банка необходимо устранить такую ситуацию, когда Счетная палата не учитывает эту работу в плане контрольных мероприятий, но все равно осуществляет ее каждый раз по специальному постановлению Государственной Думы. Было бы правильно ввести в Федеральный закон "О Центральном банке Российской Федерации (Банке России)" норму, включающую заключение Счетной палаты Российской Федерации по результатам проверки счетов и операций Банка России, на которые распространяется действие Закона Российской Федерации "О государственной тайне", в обязательный перечень документов, которые должны содержаться в годовом отчете Банка.</w:t>
      </w:r>
    </w:p>
    <w:p w:rsidR="0030709E" w:rsidRPr="0030709E" w:rsidRDefault="0030709E" w:rsidP="0030709E">
      <w:pPr>
        <w:pStyle w:val="ConsPlusNormal"/>
        <w:widowControl/>
        <w:spacing w:line="360" w:lineRule="auto"/>
        <w:ind w:firstLine="540"/>
        <w:jc w:val="both"/>
        <w:rPr>
          <w:rFonts w:ascii="Times New Roman" w:hAnsi="Times New Roman" w:cs="Times New Roman"/>
          <w:sz w:val="28"/>
          <w:szCs w:val="28"/>
        </w:rPr>
      </w:pPr>
      <w:r w:rsidRPr="0030709E">
        <w:rPr>
          <w:rFonts w:ascii="Times New Roman" w:hAnsi="Times New Roman" w:cs="Times New Roman"/>
          <w:sz w:val="28"/>
          <w:szCs w:val="28"/>
        </w:rPr>
        <w:t>Аудит Центрального Банка Российской Федерации - одна из самых сложных и важных для государства работ в области финансового контроля. Кроме того, это сейчас, пожалуй, единственный пример слаженной и результативной совместной работы органа государственного финансового контроля в лице Счетной палаты Российской Федерации и независимой аудиторской организации. Совершенствование этого процесса, в том числе его законодательного обеспечения, с учетом накапливаемого практического опыта является задачей государственного значения.</w:t>
      </w:r>
    </w:p>
    <w:p w:rsidR="0030709E" w:rsidRPr="0030709E" w:rsidRDefault="0030709E" w:rsidP="0030709E">
      <w:pPr>
        <w:pStyle w:val="ConsPlusNonformat"/>
        <w:widowControl/>
        <w:spacing w:line="360" w:lineRule="auto"/>
        <w:rPr>
          <w:rFonts w:ascii="Times New Roman" w:hAnsi="Times New Roman" w:cs="Times New Roman"/>
          <w:sz w:val="28"/>
          <w:szCs w:val="28"/>
        </w:rPr>
      </w:pPr>
    </w:p>
    <w:p w:rsidR="0030709E" w:rsidRPr="0030709E" w:rsidRDefault="0030709E" w:rsidP="0030709E">
      <w:pPr>
        <w:pStyle w:val="ConsPlusNonformat"/>
        <w:widowControl/>
        <w:spacing w:line="360" w:lineRule="auto"/>
        <w:rPr>
          <w:rFonts w:ascii="Times New Roman" w:hAnsi="Times New Roman" w:cs="Times New Roman"/>
          <w:sz w:val="28"/>
          <w:szCs w:val="28"/>
        </w:rPr>
      </w:pPr>
    </w:p>
    <w:p w:rsidR="0030709E" w:rsidRPr="0097109D" w:rsidRDefault="0030709E" w:rsidP="0097109D">
      <w:pPr>
        <w:pStyle w:val="ConsPlusNonformat"/>
        <w:widowControl/>
        <w:spacing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Pr="0097109D">
        <w:rPr>
          <w:rFonts w:ascii="Times New Roman" w:hAnsi="Times New Roman" w:cs="Times New Roman"/>
          <w:b/>
          <w:bCs/>
          <w:sz w:val="28"/>
          <w:szCs w:val="28"/>
        </w:rPr>
        <w:t>Литература</w:t>
      </w:r>
    </w:p>
    <w:p w:rsidR="0030709E" w:rsidRPr="0030709E" w:rsidRDefault="0030709E" w:rsidP="0030709E">
      <w:pPr>
        <w:pStyle w:val="ConsPlusNonformat"/>
        <w:widowControl/>
        <w:spacing w:line="360" w:lineRule="auto"/>
        <w:rPr>
          <w:rFonts w:ascii="Times New Roman" w:hAnsi="Times New Roman" w:cs="Times New Roman"/>
          <w:sz w:val="28"/>
          <w:szCs w:val="28"/>
        </w:rPr>
      </w:pPr>
    </w:p>
    <w:p w:rsidR="0030709E" w:rsidRPr="0030709E" w:rsidRDefault="0030709E" w:rsidP="0030709E">
      <w:pPr>
        <w:pStyle w:val="ConsPlusNormal"/>
        <w:widowControl/>
        <w:ind w:firstLine="0"/>
        <w:jc w:val="both"/>
        <w:rPr>
          <w:rFonts w:ascii="Times New Roman" w:hAnsi="Times New Roman" w:cs="Times New Roman"/>
          <w:sz w:val="24"/>
          <w:szCs w:val="24"/>
        </w:rPr>
      </w:pPr>
      <w:r w:rsidRPr="0030709E">
        <w:rPr>
          <w:rFonts w:ascii="Times New Roman" w:hAnsi="Times New Roman" w:cs="Times New Roman"/>
          <w:sz w:val="24"/>
          <w:szCs w:val="24"/>
        </w:rPr>
        <w:t>"КОНСТИТУЦИЯ РОССИЙСКОЙ ФЕДЕРАЦИИ"</w:t>
      </w:r>
    </w:p>
    <w:p w:rsidR="0030709E" w:rsidRPr="0030709E" w:rsidRDefault="0030709E" w:rsidP="0030709E">
      <w:pPr>
        <w:pStyle w:val="ConsPlusNormal"/>
        <w:widowControl/>
        <w:ind w:firstLine="0"/>
        <w:jc w:val="both"/>
        <w:rPr>
          <w:rFonts w:ascii="Times New Roman" w:hAnsi="Times New Roman" w:cs="Times New Roman"/>
          <w:sz w:val="24"/>
          <w:szCs w:val="24"/>
        </w:rPr>
      </w:pPr>
      <w:r w:rsidRPr="0030709E">
        <w:rPr>
          <w:rFonts w:ascii="Times New Roman" w:hAnsi="Times New Roman" w:cs="Times New Roman"/>
          <w:sz w:val="24"/>
          <w:szCs w:val="24"/>
        </w:rPr>
        <w:t>(принята всенародным голосованием 12.12.1993)</w:t>
      </w:r>
    </w:p>
    <w:p w:rsidR="0030709E" w:rsidRPr="0030709E" w:rsidRDefault="0030709E" w:rsidP="0030709E">
      <w:pPr>
        <w:pStyle w:val="ConsPlusNonformat"/>
        <w:widowControl/>
        <w:jc w:val="both"/>
        <w:rPr>
          <w:rFonts w:ascii="Times New Roman" w:hAnsi="Times New Roman" w:cs="Times New Roman"/>
          <w:sz w:val="24"/>
          <w:szCs w:val="24"/>
        </w:rPr>
      </w:pPr>
    </w:p>
    <w:p w:rsidR="0030709E" w:rsidRPr="0030709E" w:rsidRDefault="0030709E" w:rsidP="0030709E">
      <w:pPr>
        <w:pStyle w:val="ConsPlusNormal"/>
        <w:widowControl/>
        <w:ind w:firstLine="0"/>
        <w:jc w:val="both"/>
        <w:rPr>
          <w:rFonts w:ascii="Times New Roman" w:hAnsi="Times New Roman" w:cs="Times New Roman"/>
          <w:sz w:val="24"/>
          <w:szCs w:val="24"/>
        </w:rPr>
      </w:pPr>
      <w:r w:rsidRPr="0030709E">
        <w:rPr>
          <w:rFonts w:ascii="Times New Roman" w:hAnsi="Times New Roman" w:cs="Times New Roman"/>
          <w:sz w:val="24"/>
          <w:szCs w:val="24"/>
        </w:rPr>
        <w:t>ФЕДЕРАЛЬНЫЙ ЗАКОН от 02.12.1990 N 394-1</w:t>
      </w:r>
    </w:p>
    <w:p w:rsidR="0030709E" w:rsidRPr="0030709E" w:rsidRDefault="0030709E" w:rsidP="0030709E">
      <w:pPr>
        <w:pStyle w:val="ConsPlusNormal"/>
        <w:widowControl/>
        <w:ind w:firstLine="0"/>
        <w:jc w:val="both"/>
        <w:rPr>
          <w:rFonts w:ascii="Times New Roman" w:hAnsi="Times New Roman" w:cs="Times New Roman"/>
          <w:sz w:val="24"/>
          <w:szCs w:val="24"/>
        </w:rPr>
      </w:pPr>
      <w:r w:rsidRPr="0030709E">
        <w:rPr>
          <w:rFonts w:ascii="Times New Roman" w:hAnsi="Times New Roman" w:cs="Times New Roman"/>
          <w:sz w:val="24"/>
          <w:szCs w:val="24"/>
        </w:rPr>
        <w:t>"О ЦЕНТРАЛЬНОМ БАНКЕ РОССИЙСКОЙ ФЕДЕРАЦИИ (БАНКЕ РОССИИ)"</w:t>
      </w:r>
    </w:p>
    <w:p w:rsidR="0030709E" w:rsidRPr="0030709E" w:rsidRDefault="0030709E" w:rsidP="0030709E">
      <w:pPr>
        <w:pStyle w:val="ConsPlusNonformat"/>
        <w:widowControl/>
        <w:jc w:val="both"/>
        <w:rPr>
          <w:rFonts w:ascii="Times New Roman" w:hAnsi="Times New Roman" w:cs="Times New Roman"/>
          <w:sz w:val="24"/>
          <w:szCs w:val="24"/>
        </w:rPr>
      </w:pPr>
    </w:p>
    <w:p w:rsidR="0030709E" w:rsidRPr="0030709E" w:rsidRDefault="0030709E" w:rsidP="0030709E">
      <w:pPr>
        <w:pStyle w:val="ConsPlusNormal"/>
        <w:widowControl/>
        <w:ind w:firstLine="0"/>
        <w:jc w:val="both"/>
        <w:rPr>
          <w:rFonts w:ascii="Times New Roman" w:hAnsi="Times New Roman" w:cs="Times New Roman"/>
          <w:sz w:val="24"/>
          <w:szCs w:val="24"/>
        </w:rPr>
      </w:pPr>
      <w:r w:rsidRPr="0030709E">
        <w:rPr>
          <w:rFonts w:ascii="Times New Roman" w:hAnsi="Times New Roman" w:cs="Times New Roman"/>
          <w:sz w:val="24"/>
          <w:szCs w:val="24"/>
        </w:rPr>
        <w:t>ЗАКОН РФ от 21.07.1993 N 5485-1</w:t>
      </w:r>
    </w:p>
    <w:p w:rsidR="0030709E" w:rsidRPr="0030709E" w:rsidRDefault="0030709E" w:rsidP="0030709E">
      <w:pPr>
        <w:pStyle w:val="ConsPlusNormal"/>
        <w:widowControl/>
        <w:ind w:firstLine="0"/>
        <w:jc w:val="both"/>
        <w:rPr>
          <w:rFonts w:ascii="Times New Roman" w:hAnsi="Times New Roman" w:cs="Times New Roman"/>
          <w:sz w:val="24"/>
          <w:szCs w:val="24"/>
        </w:rPr>
      </w:pPr>
      <w:r w:rsidRPr="0030709E">
        <w:rPr>
          <w:rFonts w:ascii="Times New Roman" w:hAnsi="Times New Roman" w:cs="Times New Roman"/>
          <w:sz w:val="24"/>
          <w:szCs w:val="24"/>
        </w:rPr>
        <w:t>"О ГОСУДАРСТВЕННОЙ ТАЙНЕ"</w:t>
      </w:r>
    </w:p>
    <w:p w:rsidR="0030709E" w:rsidRPr="0030709E" w:rsidRDefault="0030709E" w:rsidP="0030709E">
      <w:pPr>
        <w:pStyle w:val="ConsPlusNonformat"/>
        <w:widowControl/>
        <w:jc w:val="both"/>
        <w:rPr>
          <w:rFonts w:ascii="Times New Roman" w:hAnsi="Times New Roman" w:cs="Times New Roman"/>
          <w:sz w:val="24"/>
          <w:szCs w:val="24"/>
        </w:rPr>
      </w:pPr>
    </w:p>
    <w:p w:rsidR="0030709E" w:rsidRPr="0030709E" w:rsidRDefault="0030709E" w:rsidP="0030709E">
      <w:pPr>
        <w:pStyle w:val="ConsPlusNormal"/>
        <w:widowControl/>
        <w:ind w:firstLine="0"/>
        <w:jc w:val="both"/>
        <w:rPr>
          <w:rFonts w:ascii="Times New Roman" w:hAnsi="Times New Roman" w:cs="Times New Roman"/>
          <w:sz w:val="24"/>
          <w:szCs w:val="24"/>
        </w:rPr>
      </w:pPr>
      <w:r w:rsidRPr="0030709E">
        <w:rPr>
          <w:rFonts w:ascii="Times New Roman" w:hAnsi="Times New Roman" w:cs="Times New Roman"/>
          <w:sz w:val="24"/>
          <w:szCs w:val="24"/>
        </w:rPr>
        <w:t>ФЕДЕРАЛЬНЫЙ ЗАКОН от 11.01.1995 N 4-ФЗ</w:t>
      </w:r>
    </w:p>
    <w:p w:rsidR="0030709E" w:rsidRPr="0030709E" w:rsidRDefault="0030709E" w:rsidP="0030709E">
      <w:pPr>
        <w:pStyle w:val="ConsPlusNormal"/>
        <w:widowControl/>
        <w:ind w:firstLine="0"/>
        <w:jc w:val="both"/>
        <w:rPr>
          <w:rFonts w:ascii="Times New Roman" w:hAnsi="Times New Roman" w:cs="Times New Roman"/>
          <w:sz w:val="24"/>
          <w:szCs w:val="24"/>
        </w:rPr>
      </w:pPr>
      <w:r w:rsidRPr="0030709E">
        <w:rPr>
          <w:rFonts w:ascii="Times New Roman" w:hAnsi="Times New Roman" w:cs="Times New Roman"/>
          <w:sz w:val="24"/>
          <w:szCs w:val="24"/>
        </w:rPr>
        <w:t>"О СЧЕТНОЙ ПАЛАТЕ РОССИЙСКОЙ ФЕДЕРАЦИИ"</w:t>
      </w:r>
    </w:p>
    <w:p w:rsidR="0030709E" w:rsidRPr="0030709E" w:rsidRDefault="0030709E" w:rsidP="0030709E">
      <w:pPr>
        <w:pStyle w:val="ConsPlusNormal"/>
        <w:widowControl/>
        <w:ind w:firstLine="0"/>
        <w:jc w:val="both"/>
        <w:rPr>
          <w:rFonts w:ascii="Times New Roman" w:hAnsi="Times New Roman" w:cs="Times New Roman"/>
          <w:sz w:val="24"/>
          <w:szCs w:val="24"/>
        </w:rPr>
      </w:pPr>
      <w:r w:rsidRPr="0030709E">
        <w:rPr>
          <w:rFonts w:ascii="Times New Roman" w:hAnsi="Times New Roman" w:cs="Times New Roman"/>
          <w:sz w:val="24"/>
          <w:szCs w:val="24"/>
        </w:rPr>
        <w:t>(принят ГД ФС РФ 18.11.1994)</w:t>
      </w:r>
    </w:p>
    <w:p w:rsidR="0030709E" w:rsidRPr="0030709E" w:rsidRDefault="0030709E" w:rsidP="0030709E">
      <w:pPr>
        <w:pStyle w:val="ConsPlusNonformat"/>
        <w:widowControl/>
        <w:jc w:val="both"/>
        <w:rPr>
          <w:rFonts w:ascii="Times New Roman" w:hAnsi="Times New Roman" w:cs="Times New Roman"/>
          <w:sz w:val="24"/>
          <w:szCs w:val="24"/>
        </w:rPr>
      </w:pPr>
    </w:p>
    <w:p w:rsidR="0030709E" w:rsidRPr="0030709E" w:rsidRDefault="0030709E" w:rsidP="0030709E">
      <w:pPr>
        <w:pStyle w:val="ConsPlusNormal"/>
        <w:widowControl/>
        <w:ind w:firstLine="0"/>
        <w:jc w:val="both"/>
        <w:rPr>
          <w:rFonts w:ascii="Times New Roman" w:hAnsi="Times New Roman" w:cs="Times New Roman"/>
          <w:sz w:val="24"/>
          <w:szCs w:val="24"/>
        </w:rPr>
      </w:pPr>
      <w:r w:rsidRPr="0030709E">
        <w:rPr>
          <w:rFonts w:ascii="Times New Roman" w:hAnsi="Times New Roman" w:cs="Times New Roman"/>
          <w:sz w:val="24"/>
          <w:szCs w:val="24"/>
        </w:rPr>
        <w:t>"БЮДЖЕТНЫЙ КОДЕКС РОССИЙСКОЙ ФЕДЕРАЦИИ" от 31.07.1998 N 145-ФЗ</w:t>
      </w:r>
    </w:p>
    <w:p w:rsidR="0030709E" w:rsidRPr="0030709E" w:rsidRDefault="0030709E" w:rsidP="0030709E">
      <w:pPr>
        <w:pStyle w:val="ConsPlusNormal"/>
        <w:widowControl/>
        <w:ind w:firstLine="0"/>
        <w:jc w:val="both"/>
        <w:rPr>
          <w:rFonts w:ascii="Times New Roman" w:hAnsi="Times New Roman" w:cs="Times New Roman"/>
          <w:sz w:val="24"/>
          <w:szCs w:val="24"/>
        </w:rPr>
      </w:pPr>
      <w:r w:rsidRPr="0030709E">
        <w:rPr>
          <w:rFonts w:ascii="Times New Roman" w:hAnsi="Times New Roman" w:cs="Times New Roman"/>
          <w:sz w:val="24"/>
          <w:szCs w:val="24"/>
        </w:rPr>
        <w:t>(принят ГД ФС РФ 17.07.1998)</w:t>
      </w:r>
    </w:p>
    <w:p w:rsidR="0030709E" w:rsidRPr="0030709E" w:rsidRDefault="0030709E" w:rsidP="0030709E">
      <w:pPr>
        <w:pStyle w:val="ConsPlusNonformat"/>
        <w:widowControl/>
        <w:jc w:val="both"/>
        <w:rPr>
          <w:rFonts w:ascii="Times New Roman" w:hAnsi="Times New Roman" w:cs="Times New Roman"/>
          <w:sz w:val="24"/>
          <w:szCs w:val="24"/>
        </w:rPr>
      </w:pPr>
    </w:p>
    <w:p w:rsidR="0030709E" w:rsidRPr="0030709E" w:rsidRDefault="0030709E" w:rsidP="0030709E">
      <w:pPr>
        <w:pStyle w:val="ConsPlusNormal"/>
        <w:widowControl/>
        <w:ind w:firstLine="0"/>
        <w:jc w:val="both"/>
        <w:rPr>
          <w:rFonts w:ascii="Times New Roman" w:hAnsi="Times New Roman" w:cs="Times New Roman"/>
          <w:sz w:val="24"/>
          <w:szCs w:val="24"/>
        </w:rPr>
      </w:pPr>
      <w:r w:rsidRPr="0030709E">
        <w:rPr>
          <w:rFonts w:ascii="Times New Roman" w:hAnsi="Times New Roman" w:cs="Times New Roman"/>
          <w:sz w:val="24"/>
          <w:szCs w:val="24"/>
        </w:rPr>
        <w:t>ФЕДЕРАЛЬНЫЙ ЗАКОН от 07.08.2001 N 119-ФЗ</w:t>
      </w:r>
    </w:p>
    <w:p w:rsidR="0030709E" w:rsidRPr="0030709E" w:rsidRDefault="0030709E" w:rsidP="0030709E">
      <w:pPr>
        <w:pStyle w:val="ConsPlusNormal"/>
        <w:widowControl/>
        <w:ind w:firstLine="0"/>
        <w:jc w:val="both"/>
        <w:rPr>
          <w:rFonts w:ascii="Times New Roman" w:hAnsi="Times New Roman" w:cs="Times New Roman"/>
          <w:sz w:val="24"/>
          <w:szCs w:val="24"/>
        </w:rPr>
      </w:pPr>
      <w:r w:rsidRPr="0030709E">
        <w:rPr>
          <w:rFonts w:ascii="Times New Roman" w:hAnsi="Times New Roman" w:cs="Times New Roman"/>
          <w:sz w:val="24"/>
          <w:szCs w:val="24"/>
        </w:rPr>
        <w:t>"ОБ АУДИТОРСКОЙ ДЕЯТЕЛЬНОСТИ"</w:t>
      </w:r>
    </w:p>
    <w:p w:rsidR="0030709E" w:rsidRPr="0030709E" w:rsidRDefault="0030709E" w:rsidP="0030709E">
      <w:pPr>
        <w:pStyle w:val="ConsPlusNormal"/>
        <w:widowControl/>
        <w:ind w:firstLine="0"/>
        <w:jc w:val="both"/>
        <w:rPr>
          <w:rFonts w:ascii="Times New Roman" w:hAnsi="Times New Roman" w:cs="Times New Roman"/>
          <w:sz w:val="24"/>
          <w:szCs w:val="24"/>
        </w:rPr>
      </w:pPr>
      <w:r w:rsidRPr="0030709E">
        <w:rPr>
          <w:rFonts w:ascii="Times New Roman" w:hAnsi="Times New Roman" w:cs="Times New Roman"/>
          <w:sz w:val="24"/>
          <w:szCs w:val="24"/>
        </w:rPr>
        <w:t>(принят ГД ФС РФ 13.07.2001)</w:t>
      </w:r>
    </w:p>
    <w:p w:rsidR="0030709E" w:rsidRPr="0030709E" w:rsidRDefault="0030709E" w:rsidP="0030709E">
      <w:pPr>
        <w:pStyle w:val="ConsPlusNonformat"/>
        <w:widowControl/>
        <w:jc w:val="both"/>
        <w:rPr>
          <w:rFonts w:ascii="Times New Roman" w:hAnsi="Times New Roman" w:cs="Times New Roman"/>
          <w:sz w:val="24"/>
          <w:szCs w:val="24"/>
        </w:rPr>
      </w:pPr>
    </w:p>
    <w:p w:rsidR="0030709E" w:rsidRPr="0030709E" w:rsidRDefault="0030709E" w:rsidP="0030709E">
      <w:pPr>
        <w:pStyle w:val="ConsPlusNormal"/>
        <w:widowControl/>
        <w:ind w:firstLine="0"/>
        <w:jc w:val="both"/>
        <w:rPr>
          <w:rFonts w:ascii="Times New Roman" w:hAnsi="Times New Roman" w:cs="Times New Roman"/>
          <w:sz w:val="24"/>
          <w:szCs w:val="24"/>
        </w:rPr>
      </w:pPr>
      <w:r w:rsidRPr="0030709E">
        <w:rPr>
          <w:rFonts w:ascii="Times New Roman" w:hAnsi="Times New Roman" w:cs="Times New Roman"/>
          <w:sz w:val="24"/>
          <w:szCs w:val="24"/>
        </w:rPr>
        <w:t>ПОСТАНОВЛЕНИЕ ГД ФС РФ от 22.01.1998 N 2134-II ГД</w:t>
      </w:r>
    </w:p>
    <w:p w:rsidR="0030709E" w:rsidRPr="0030709E" w:rsidRDefault="0030709E" w:rsidP="0030709E">
      <w:pPr>
        <w:pStyle w:val="ConsPlusNormal"/>
        <w:widowControl/>
        <w:ind w:firstLine="0"/>
        <w:jc w:val="both"/>
        <w:rPr>
          <w:rFonts w:ascii="Times New Roman" w:hAnsi="Times New Roman" w:cs="Times New Roman"/>
          <w:sz w:val="24"/>
          <w:szCs w:val="24"/>
        </w:rPr>
      </w:pPr>
      <w:r w:rsidRPr="0030709E">
        <w:rPr>
          <w:rFonts w:ascii="Times New Roman" w:hAnsi="Times New Roman" w:cs="Times New Roman"/>
          <w:sz w:val="24"/>
          <w:szCs w:val="24"/>
        </w:rPr>
        <w:t>"О   РЕГЛАМЕНТЕ   ГОСУДАРСТВЕННОЙ   ДУМЫ   ФЕДЕРАЛЬНОГО   СОБРАНИЯ</w:t>
      </w:r>
    </w:p>
    <w:p w:rsidR="0030709E" w:rsidRPr="0030709E" w:rsidRDefault="0030709E" w:rsidP="0030709E">
      <w:pPr>
        <w:pStyle w:val="ConsPlusNormal"/>
        <w:widowControl/>
        <w:ind w:firstLine="0"/>
        <w:jc w:val="both"/>
        <w:rPr>
          <w:rFonts w:ascii="Times New Roman" w:hAnsi="Times New Roman" w:cs="Times New Roman"/>
          <w:sz w:val="24"/>
          <w:szCs w:val="24"/>
        </w:rPr>
      </w:pPr>
      <w:r w:rsidRPr="0030709E">
        <w:rPr>
          <w:rFonts w:ascii="Times New Roman" w:hAnsi="Times New Roman" w:cs="Times New Roman"/>
          <w:sz w:val="24"/>
          <w:szCs w:val="24"/>
        </w:rPr>
        <w:t>РОССИЙСКОЙ ФЕДЕРАЦИИ"</w:t>
      </w:r>
    </w:p>
    <w:p w:rsidR="0030709E" w:rsidRPr="0030709E" w:rsidRDefault="0030709E" w:rsidP="0030709E">
      <w:pPr>
        <w:pStyle w:val="ConsPlusNonformat"/>
        <w:widowControl/>
        <w:jc w:val="both"/>
        <w:rPr>
          <w:rFonts w:ascii="Times New Roman" w:hAnsi="Times New Roman" w:cs="Times New Roman"/>
          <w:sz w:val="24"/>
          <w:szCs w:val="24"/>
        </w:rPr>
      </w:pPr>
    </w:p>
    <w:p w:rsidR="0030709E" w:rsidRPr="0030709E" w:rsidRDefault="0030709E" w:rsidP="0030709E">
      <w:pPr>
        <w:pStyle w:val="ConsPlusNormal"/>
        <w:widowControl/>
        <w:ind w:firstLine="0"/>
        <w:jc w:val="both"/>
        <w:rPr>
          <w:rFonts w:ascii="Times New Roman" w:hAnsi="Times New Roman" w:cs="Times New Roman"/>
          <w:sz w:val="24"/>
          <w:szCs w:val="24"/>
        </w:rPr>
      </w:pPr>
      <w:r w:rsidRPr="0030709E">
        <w:rPr>
          <w:rFonts w:ascii="Times New Roman" w:hAnsi="Times New Roman" w:cs="Times New Roman"/>
          <w:sz w:val="24"/>
          <w:szCs w:val="24"/>
        </w:rPr>
        <w:t>ПОСТАНОВЛЕНИЕ ГД ФС РФ от 21.12.2001 N 2277-III ГД</w:t>
      </w:r>
    </w:p>
    <w:p w:rsidR="0030709E" w:rsidRPr="0030709E" w:rsidRDefault="0030709E" w:rsidP="0030709E">
      <w:pPr>
        <w:pStyle w:val="ConsPlusNormal"/>
        <w:widowControl/>
        <w:ind w:firstLine="0"/>
        <w:jc w:val="both"/>
        <w:rPr>
          <w:rFonts w:ascii="Times New Roman" w:hAnsi="Times New Roman" w:cs="Times New Roman"/>
          <w:sz w:val="24"/>
          <w:szCs w:val="24"/>
        </w:rPr>
      </w:pPr>
      <w:r w:rsidRPr="0030709E">
        <w:rPr>
          <w:rFonts w:ascii="Times New Roman" w:hAnsi="Times New Roman" w:cs="Times New Roman"/>
          <w:sz w:val="24"/>
          <w:szCs w:val="24"/>
        </w:rPr>
        <w:t>"ОБ  АУДИТОРЕ  ЦЕНТРАЛЬНОГО БАНКА РОССИЙСКОЙ ФЕДЕРАЦИИ ПО ГОДОВОМУ</w:t>
      </w:r>
    </w:p>
    <w:p w:rsidR="0030709E" w:rsidRPr="0030709E" w:rsidRDefault="0030709E" w:rsidP="0030709E">
      <w:pPr>
        <w:pStyle w:val="ConsPlusNormal"/>
        <w:widowControl/>
        <w:ind w:firstLine="0"/>
        <w:jc w:val="both"/>
        <w:rPr>
          <w:rFonts w:ascii="Times New Roman" w:hAnsi="Times New Roman" w:cs="Times New Roman"/>
          <w:sz w:val="24"/>
          <w:szCs w:val="24"/>
        </w:rPr>
      </w:pPr>
      <w:r w:rsidRPr="0030709E">
        <w:rPr>
          <w:rFonts w:ascii="Times New Roman" w:hAnsi="Times New Roman" w:cs="Times New Roman"/>
          <w:sz w:val="24"/>
          <w:szCs w:val="24"/>
        </w:rPr>
        <w:t>ОТЧЕТУ ЦЕНТРАЛЬНОГО БАНКА РОССИЙСКОЙ ФЕДЕРАЦИИ ЗА 2001 ГОД"</w:t>
      </w:r>
    </w:p>
    <w:p w:rsidR="0030709E" w:rsidRPr="0030709E" w:rsidRDefault="0030709E" w:rsidP="0030709E">
      <w:pPr>
        <w:pStyle w:val="ConsPlusNonformat"/>
        <w:widowControl/>
        <w:jc w:val="both"/>
        <w:rPr>
          <w:rFonts w:ascii="Times New Roman" w:hAnsi="Times New Roman" w:cs="Times New Roman"/>
          <w:sz w:val="24"/>
          <w:szCs w:val="24"/>
        </w:rPr>
      </w:pPr>
    </w:p>
    <w:p w:rsidR="0030709E" w:rsidRPr="0030709E" w:rsidRDefault="0030709E" w:rsidP="0030709E">
      <w:pPr>
        <w:pStyle w:val="ConsPlusNormal"/>
        <w:widowControl/>
        <w:ind w:firstLine="0"/>
        <w:jc w:val="both"/>
        <w:rPr>
          <w:rFonts w:ascii="Times New Roman" w:hAnsi="Times New Roman" w:cs="Times New Roman"/>
          <w:sz w:val="24"/>
          <w:szCs w:val="24"/>
        </w:rPr>
      </w:pPr>
      <w:r w:rsidRPr="0030709E">
        <w:rPr>
          <w:rFonts w:ascii="Times New Roman" w:hAnsi="Times New Roman" w:cs="Times New Roman"/>
          <w:sz w:val="24"/>
          <w:szCs w:val="24"/>
        </w:rPr>
        <w:t>ПОСТАНОВЛЕНИЕ ГД ФС РФ от 08.02.2002 N 2435-III ГД</w:t>
      </w:r>
    </w:p>
    <w:p w:rsidR="0030709E" w:rsidRPr="0030709E" w:rsidRDefault="0030709E" w:rsidP="0030709E">
      <w:pPr>
        <w:pStyle w:val="ConsPlusNormal"/>
        <w:widowControl/>
        <w:ind w:firstLine="0"/>
        <w:jc w:val="both"/>
        <w:rPr>
          <w:rFonts w:ascii="Times New Roman" w:hAnsi="Times New Roman" w:cs="Times New Roman"/>
          <w:sz w:val="24"/>
          <w:szCs w:val="24"/>
        </w:rPr>
      </w:pPr>
      <w:r w:rsidRPr="0030709E">
        <w:rPr>
          <w:rFonts w:ascii="Times New Roman" w:hAnsi="Times New Roman" w:cs="Times New Roman"/>
          <w:sz w:val="24"/>
          <w:szCs w:val="24"/>
        </w:rPr>
        <w:t>"О   РЕКОМЕНДАЦИЯХ  ПО  АУДИТОРСКОЙ  ПРОВЕРКЕ  ЦЕНТРАЛЬНОГО  БАНКА</w:t>
      </w:r>
    </w:p>
    <w:p w:rsidR="0030709E" w:rsidRPr="0030709E" w:rsidRDefault="0030709E" w:rsidP="0030709E">
      <w:pPr>
        <w:pStyle w:val="ConsPlusNormal"/>
        <w:widowControl/>
        <w:ind w:firstLine="0"/>
        <w:jc w:val="both"/>
        <w:rPr>
          <w:rFonts w:ascii="Times New Roman" w:hAnsi="Times New Roman" w:cs="Times New Roman"/>
          <w:sz w:val="24"/>
          <w:szCs w:val="24"/>
        </w:rPr>
      </w:pPr>
      <w:r w:rsidRPr="0030709E">
        <w:rPr>
          <w:rFonts w:ascii="Times New Roman" w:hAnsi="Times New Roman" w:cs="Times New Roman"/>
          <w:sz w:val="24"/>
          <w:szCs w:val="24"/>
        </w:rPr>
        <w:t>РОССИЙСКОЙ ФЕДЕРАЦИИ ЗА 2001 ГОД"</w:t>
      </w:r>
    </w:p>
    <w:p w:rsidR="0030709E" w:rsidRPr="0030709E" w:rsidRDefault="0030709E" w:rsidP="0030709E">
      <w:pPr>
        <w:pStyle w:val="ConsPlusNonformat"/>
        <w:widowControl/>
        <w:jc w:val="both"/>
        <w:rPr>
          <w:rFonts w:ascii="Times New Roman" w:hAnsi="Times New Roman" w:cs="Times New Roman"/>
          <w:sz w:val="24"/>
          <w:szCs w:val="24"/>
        </w:rPr>
      </w:pPr>
    </w:p>
    <w:p w:rsidR="0030709E" w:rsidRPr="0030709E" w:rsidRDefault="0030709E" w:rsidP="0030709E">
      <w:pPr>
        <w:pStyle w:val="ConsPlusNormal"/>
        <w:widowControl/>
        <w:ind w:firstLine="0"/>
        <w:jc w:val="both"/>
        <w:rPr>
          <w:rFonts w:ascii="Times New Roman" w:hAnsi="Times New Roman" w:cs="Times New Roman"/>
          <w:sz w:val="24"/>
          <w:szCs w:val="24"/>
        </w:rPr>
      </w:pPr>
      <w:r w:rsidRPr="0030709E">
        <w:rPr>
          <w:rFonts w:ascii="Times New Roman" w:hAnsi="Times New Roman" w:cs="Times New Roman"/>
          <w:sz w:val="24"/>
          <w:szCs w:val="24"/>
        </w:rPr>
        <w:t>УКАЗАНИЕ Банка России от 22.03.1999 N 518-У</w:t>
      </w:r>
    </w:p>
    <w:p w:rsidR="0030709E" w:rsidRPr="0030709E" w:rsidRDefault="0030709E" w:rsidP="0030709E">
      <w:pPr>
        <w:pStyle w:val="ConsPlusNormal"/>
        <w:widowControl/>
        <w:ind w:firstLine="0"/>
        <w:jc w:val="both"/>
        <w:rPr>
          <w:rFonts w:ascii="Times New Roman" w:hAnsi="Times New Roman" w:cs="Times New Roman"/>
          <w:sz w:val="24"/>
          <w:szCs w:val="24"/>
        </w:rPr>
      </w:pPr>
      <w:r w:rsidRPr="0030709E">
        <w:rPr>
          <w:rFonts w:ascii="Times New Roman" w:hAnsi="Times New Roman" w:cs="Times New Roman"/>
          <w:sz w:val="24"/>
          <w:szCs w:val="24"/>
        </w:rPr>
        <w:t>"РАЗВЕРНУТЫЙ ПЕРЕЧЕНЬ   СВЕДЕНИЙ,   ПОДЛЕЖАЩИХ   ЗАСЕКРЕЧИВАНИЮ  В</w:t>
      </w:r>
    </w:p>
    <w:p w:rsidR="0030709E" w:rsidRPr="0030709E" w:rsidRDefault="0030709E" w:rsidP="0030709E">
      <w:pPr>
        <w:pStyle w:val="ConsPlusNormal"/>
        <w:widowControl/>
        <w:ind w:firstLine="0"/>
        <w:jc w:val="both"/>
        <w:rPr>
          <w:rFonts w:ascii="Times New Roman" w:hAnsi="Times New Roman" w:cs="Times New Roman"/>
          <w:sz w:val="24"/>
          <w:szCs w:val="24"/>
        </w:rPr>
      </w:pPr>
      <w:r w:rsidRPr="0030709E">
        <w:rPr>
          <w:rFonts w:ascii="Times New Roman" w:hAnsi="Times New Roman" w:cs="Times New Roman"/>
          <w:sz w:val="24"/>
          <w:szCs w:val="24"/>
        </w:rPr>
        <w:t>СИСТЕМЕ БАНКА РОССИИ"</w:t>
      </w:r>
    </w:p>
    <w:p w:rsidR="0030709E" w:rsidRPr="0030709E" w:rsidRDefault="0030709E" w:rsidP="0030709E">
      <w:pPr>
        <w:pStyle w:val="ConsPlusNonformat"/>
        <w:widowControl/>
        <w:jc w:val="both"/>
        <w:rPr>
          <w:rFonts w:ascii="Times New Roman" w:hAnsi="Times New Roman" w:cs="Times New Roman"/>
          <w:sz w:val="24"/>
          <w:szCs w:val="24"/>
        </w:rPr>
      </w:pPr>
    </w:p>
    <w:p w:rsidR="0030709E" w:rsidRPr="0030709E" w:rsidRDefault="0030709E" w:rsidP="0030709E">
      <w:pPr>
        <w:pStyle w:val="ConsPlusNormal"/>
        <w:widowControl/>
        <w:ind w:firstLine="0"/>
        <w:jc w:val="both"/>
        <w:rPr>
          <w:rFonts w:ascii="Times New Roman" w:hAnsi="Times New Roman" w:cs="Times New Roman"/>
          <w:sz w:val="24"/>
          <w:szCs w:val="24"/>
        </w:rPr>
      </w:pPr>
      <w:r w:rsidRPr="0030709E">
        <w:rPr>
          <w:rFonts w:ascii="Times New Roman" w:hAnsi="Times New Roman" w:cs="Times New Roman"/>
          <w:sz w:val="24"/>
          <w:szCs w:val="24"/>
        </w:rPr>
        <w:t>УКАЗАНИЕ Банка России от 06.01.2000 N 728-У</w:t>
      </w:r>
    </w:p>
    <w:p w:rsidR="0030709E" w:rsidRPr="0030709E" w:rsidRDefault="0030709E" w:rsidP="0030709E">
      <w:pPr>
        <w:pStyle w:val="ConsPlusNormal"/>
        <w:widowControl/>
        <w:ind w:firstLine="0"/>
        <w:jc w:val="both"/>
        <w:rPr>
          <w:rFonts w:ascii="Times New Roman" w:hAnsi="Times New Roman" w:cs="Times New Roman"/>
          <w:sz w:val="24"/>
          <w:szCs w:val="24"/>
        </w:rPr>
      </w:pPr>
      <w:r w:rsidRPr="0030709E">
        <w:rPr>
          <w:rFonts w:ascii="Times New Roman" w:hAnsi="Times New Roman" w:cs="Times New Roman"/>
          <w:sz w:val="24"/>
          <w:szCs w:val="24"/>
        </w:rPr>
        <w:t>"О ВНЕСЕНИИ   ИЗМЕНЕНИЙ   И  ДОПОЛНЕНИЙ  В  УТВЕРЖДЕННЫЙ  ПЕРЕЧЕНЬ</w:t>
      </w:r>
    </w:p>
    <w:p w:rsidR="0030709E" w:rsidRPr="0030709E" w:rsidRDefault="0030709E" w:rsidP="0030709E">
      <w:pPr>
        <w:pStyle w:val="ConsPlusNormal"/>
        <w:widowControl/>
        <w:ind w:firstLine="0"/>
        <w:jc w:val="both"/>
        <w:rPr>
          <w:rFonts w:ascii="Times New Roman" w:hAnsi="Times New Roman" w:cs="Times New Roman"/>
          <w:sz w:val="24"/>
          <w:szCs w:val="24"/>
        </w:rPr>
      </w:pPr>
      <w:r w:rsidRPr="0030709E">
        <w:rPr>
          <w:rFonts w:ascii="Times New Roman" w:hAnsi="Times New Roman" w:cs="Times New Roman"/>
          <w:sz w:val="24"/>
          <w:szCs w:val="24"/>
        </w:rPr>
        <w:t>СВЕДЕНИЙ, ПОДЛЕЖАЩИХ ЗАСЕКРЕЧИВАНИЮ В СИСТЕМЕ БАНКА РОССИИ"</w:t>
      </w:r>
    </w:p>
    <w:p w:rsidR="0030709E" w:rsidRPr="0030709E" w:rsidRDefault="0030709E" w:rsidP="0030709E">
      <w:pPr>
        <w:pStyle w:val="ConsPlusNonformat"/>
        <w:widowControl/>
        <w:jc w:val="both"/>
        <w:rPr>
          <w:rFonts w:ascii="Times New Roman" w:hAnsi="Times New Roman" w:cs="Times New Roman"/>
          <w:sz w:val="24"/>
          <w:szCs w:val="24"/>
        </w:rPr>
      </w:pPr>
    </w:p>
    <w:p w:rsidR="0030709E" w:rsidRPr="0030709E" w:rsidRDefault="0030709E" w:rsidP="0030709E">
      <w:pPr>
        <w:pStyle w:val="ConsPlusNormal"/>
        <w:widowControl/>
        <w:ind w:firstLine="0"/>
        <w:jc w:val="both"/>
        <w:rPr>
          <w:rFonts w:ascii="Times New Roman" w:hAnsi="Times New Roman" w:cs="Times New Roman"/>
          <w:sz w:val="24"/>
          <w:szCs w:val="24"/>
        </w:rPr>
      </w:pPr>
      <w:r w:rsidRPr="0030709E">
        <w:rPr>
          <w:rFonts w:ascii="Times New Roman" w:hAnsi="Times New Roman" w:cs="Times New Roman"/>
          <w:sz w:val="24"/>
          <w:szCs w:val="24"/>
        </w:rPr>
        <w:t>УКАЗАНИЕ Банка России от 15.11.2001 N 1052-У</w:t>
      </w:r>
    </w:p>
    <w:p w:rsidR="0030709E" w:rsidRPr="0030709E" w:rsidRDefault="0030709E" w:rsidP="0030709E">
      <w:pPr>
        <w:pStyle w:val="ConsPlusNormal"/>
        <w:widowControl/>
        <w:ind w:firstLine="0"/>
        <w:jc w:val="both"/>
        <w:rPr>
          <w:rFonts w:ascii="Times New Roman" w:hAnsi="Times New Roman" w:cs="Times New Roman"/>
          <w:sz w:val="24"/>
          <w:szCs w:val="24"/>
        </w:rPr>
      </w:pPr>
      <w:r w:rsidRPr="0030709E">
        <w:rPr>
          <w:rFonts w:ascii="Times New Roman" w:hAnsi="Times New Roman" w:cs="Times New Roman"/>
          <w:sz w:val="24"/>
          <w:szCs w:val="24"/>
        </w:rPr>
        <w:t>"О ВНЕСЕНИИ ИЗМЕНЕНИЙ В "РАЗВЕРНУТЫЙ ПЕРЕЧЕНЬ СВЕДЕНИЙ, ПОДЛЕЖАЩИХ</w:t>
      </w:r>
    </w:p>
    <w:p w:rsidR="0030709E" w:rsidRPr="0030709E" w:rsidRDefault="0030709E" w:rsidP="0030709E">
      <w:pPr>
        <w:pStyle w:val="ConsPlusNormal"/>
        <w:widowControl/>
        <w:ind w:firstLine="0"/>
        <w:jc w:val="both"/>
        <w:rPr>
          <w:rFonts w:ascii="Times New Roman" w:hAnsi="Times New Roman" w:cs="Times New Roman"/>
          <w:sz w:val="24"/>
          <w:szCs w:val="24"/>
        </w:rPr>
      </w:pPr>
      <w:r w:rsidRPr="0030709E">
        <w:rPr>
          <w:rFonts w:ascii="Times New Roman" w:hAnsi="Times New Roman" w:cs="Times New Roman"/>
          <w:sz w:val="24"/>
          <w:szCs w:val="24"/>
        </w:rPr>
        <w:t>ЗАСЕКРЕЧИВАНИЮ В СИСТЕМЕ БАНКА РОССИИ"</w:t>
      </w:r>
    </w:p>
    <w:p w:rsidR="0030709E" w:rsidRPr="0030709E" w:rsidRDefault="0030709E" w:rsidP="0030709E">
      <w:pPr>
        <w:pStyle w:val="ConsPlusNonformat"/>
        <w:widowControl/>
        <w:spacing w:line="360" w:lineRule="auto"/>
        <w:rPr>
          <w:rFonts w:ascii="Times New Roman" w:hAnsi="Times New Roman" w:cs="Times New Roman"/>
          <w:sz w:val="28"/>
          <w:szCs w:val="28"/>
        </w:rPr>
      </w:pPr>
    </w:p>
    <w:p w:rsidR="00D261D0" w:rsidRPr="0030709E" w:rsidRDefault="00D261D0" w:rsidP="0030709E">
      <w:pPr>
        <w:spacing w:line="360" w:lineRule="auto"/>
        <w:rPr>
          <w:sz w:val="28"/>
          <w:szCs w:val="28"/>
        </w:rPr>
      </w:pPr>
      <w:bookmarkStart w:id="0" w:name="_GoBack"/>
      <w:bookmarkEnd w:id="0"/>
    </w:p>
    <w:sectPr w:rsidR="00D261D0" w:rsidRPr="0030709E" w:rsidSect="003B395D">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DFA" w:rsidRDefault="00807DFA">
      <w:r>
        <w:separator/>
      </w:r>
    </w:p>
  </w:endnote>
  <w:endnote w:type="continuationSeparator" w:id="0">
    <w:p w:rsidR="00807DFA" w:rsidRDefault="0080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95D" w:rsidRDefault="00DC0A87" w:rsidP="003B395D">
    <w:pPr>
      <w:pStyle w:val="a3"/>
      <w:framePr w:wrap="auto" w:vAnchor="text" w:hAnchor="margin" w:xAlign="right" w:y="1"/>
      <w:rPr>
        <w:rStyle w:val="a5"/>
      </w:rPr>
    </w:pPr>
    <w:r>
      <w:rPr>
        <w:rStyle w:val="a5"/>
        <w:noProof/>
      </w:rPr>
      <w:t>2</w:t>
    </w:r>
  </w:p>
  <w:p w:rsidR="003B395D" w:rsidRDefault="003B395D" w:rsidP="003B395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DFA" w:rsidRDefault="00807DFA">
      <w:r>
        <w:separator/>
      </w:r>
    </w:p>
  </w:footnote>
  <w:footnote w:type="continuationSeparator" w:id="0">
    <w:p w:rsidR="00807DFA" w:rsidRDefault="00807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296F3C"/>
    <w:rsid w:val="0030709E"/>
    <w:rsid w:val="003B395D"/>
    <w:rsid w:val="00807DFA"/>
    <w:rsid w:val="00850E7A"/>
    <w:rsid w:val="0097109D"/>
    <w:rsid w:val="009B3722"/>
    <w:rsid w:val="00D147F7"/>
    <w:rsid w:val="00D261D0"/>
    <w:rsid w:val="00DC0A87"/>
    <w:rsid w:val="00E21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CAD7B4-AA58-4534-B9F0-D9505E6D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0709E"/>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30709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0709E"/>
    <w:pPr>
      <w:widowControl w:val="0"/>
      <w:autoSpaceDE w:val="0"/>
      <w:autoSpaceDN w:val="0"/>
      <w:adjustRightInd w:val="0"/>
    </w:pPr>
    <w:rPr>
      <w:rFonts w:ascii="Arial" w:hAnsi="Arial" w:cs="Arial"/>
      <w:b/>
      <w:bCs/>
    </w:rPr>
  </w:style>
  <w:style w:type="paragraph" w:styleId="a3">
    <w:name w:val="footer"/>
    <w:basedOn w:val="a"/>
    <w:link w:val="a4"/>
    <w:uiPriority w:val="99"/>
    <w:rsid w:val="003B395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B3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4034</Words>
  <Characters>22994</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Особенности и проблемы правового регулирования fаудита центрального банка российской федерации</vt:lpstr>
    </vt:vector>
  </TitlesOfParts>
  <Company>ОАО "НЭК"</Company>
  <LinksUpToDate>false</LinksUpToDate>
  <CharactersWithSpaces>26975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и проблемы правового регулирования fаудита центрального банка российской федерации</dc:title>
  <dc:subject/>
  <dc:creator>refersb</dc:creator>
  <cp:keywords/>
  <dc:description/>
  <cp:lastModifiedBy>admin</cp:lastModifiedBy>
  <cp:revision>2</cp:revision>
  <dcterms:created xsi:type="dcterms:W3CDTF">2014-03-01T13:12:00Z</dcterms:created>
  <dcterms:modified xsi:type="dcterms:W3CDTF">2014-03-01T13:12:00Z</dcterms:modified>
</cp:coreProperties>
</file>