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01" w:rsidRDefault="00171C01">
      <w:pPr>
        <w:pStyle w:val="1"/>
        <w:rPr>
          <w:snapToGrid w:val="0"/>
        </w:rPr>
      </w:pPr>
      <w:r>
        <w:rPr>
          <w:snapToGrid w:val="0"/>
        </w:rPr>
        <w:t>ОСОБЕННОСТИ ЛЕКАРСТВЕННОЙ ТЕРАПИИ У ДЕТЕЙ</w:t>
      </w:r>
    </w:p>
    <w:p w:rsidR="00171C01" w:rsidRDefault="00171C01">
      <w:pPr>
        <w:spacing w:before="320" w:line="2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ОБЩИЕ РАССУЖДЕНИЯ</w:t>
      </w:r>
    </w:p>
    <w:p w:rsidR="00171C01" w:rsidRDefault="00171C01">
      <w:pPr>
        <w:spacing w:before="60" w:line="200" w:lineRule="atLeast"/>
        <w:ind w:firstLine="280"/>
        <w:rPr>
          <w:snapToGrid w:val="0"/>
        </w:rPr>
      </w:pPr>
      <w:r>
        <w:rPr>
          <w:snapToGrid w:val="0"/>
        </w:rPr>
        <w:t>При лечении детей необходимо выделять группу новорожденных (до 4 нед жизни), детей грудного возраста (до 1 года), раннего и школьного возраста (включая подростков). Для новорожденных и недоношенных следует учитывать нарушения адаптации во внеутробном периоде жизни, кроме того, только в грудном возрасте завершаются процессы созревания ферментной и рецепторной систем (например, для спазмолитиков в бронхиальной системе).</w:t>
      </w:r>
    </w:p>
    <w:p w:rsidR="00171C01" w:rsidRDefault="00171C01">
      <w:pPr>
        <w:spacing w:line="200" w:lineRule="atLeast"/>
        <w:ind w:firstLine="280"/>
        <w:rPr>
          <w:snapToGrid w:val="0"/>
        </w:rPr>
      </w:pPr>
      <w:r>
        <w:rPr>
          <w:snapToGrid w:val="0"/>
        </w:rPr>
        <w:t xml:space="preserve">Исследования показали, что лекарственные средства </w:t>
      </w:r>
      <w:r>
        <w:rPr>
          <w:i/>
          <w:snapToGrid w:val="0"/>
        </w:rPr>
        <w:t>фармакодинамически</w:t>
      </w:r>
      <w:r>
        <w:rPr>
          <w:snapToGrid w:val="0"/>
        </w:rPr>
        <w:t xml:space="preserve"> действуют одинаково с периода новорожденности до старости. Показания к назначению их принципиально не отличаются у детей и взрослых. Количественные различия связаны прежде всего с </w:t>
      </w:r>
      <w:r>
        <w:rPr>
          <w:i/>
          <w:snapToGrid w:val="0"/>
        </w:rPr>
        <w:t>фармакокинетикой</w:t>
      </w:r>
      <w:r>
        <w:rPr>
          <w:snapToGrid w:val="0"/>
        </w:rPr>
        <w:t xml:space="preserve"> (см. 32.2). Отмечающиеся же различия в силе эффекта обусловлены состоянием целевого органа, однако, здесь важнее всего учитывать токсичность препарата (см. 32.3). Некоторые лекарственные вещества, например (в</w:t>
      </w:r>
      <w:r>
        <w:rPr>
          <w:snapToGrid w:val="0"/>
          <w:vertAlign w:val="subscript"/>
        </w:rPr>
        <w:t>2</w:t>
      </w:r>
      <w:r>
        <w:rPr>
          <w:snapToGrid w:val="0"/>
        </w:rPr>
        <w:t>-адреномиметики, применяемые для снятия бронхоспазма, у детей грудного возраста не оказывают эффекта). С другой стороны, недостаточное развитие иммунитета у детей при инфекционных заболеваниях требует раннего и высокодозированного введения антибиотиков.</w:t>
      </w:r>
    </w:p>
    <w:p w:rsidR="00171C01" w:rsidRDefault="00171C01">
      <w:pPr>
        <w:spacing w:line="200" w:lineRule="atLeast"/>
        <w:ind w:firstLine="260"/>
        <w:rPr>
          <w:snapToGrid w:val="0"/>
        </w:rPr>
      </w:pPr>
      <w:r>
        <w:rPr>
          <w:snapToGrid w:val="0"/>
        </w:rPr>
        <w:t>У детей часто отмечается острая картина заболевания с быстрым излечением. Поэтому имеет смысл тщательно наблюдать за ребенком, и в ситуациях, похожих на таковые у взрослых, не спешить с назначением лекарственных средств (например, антибиотиков, антипиретиков).</w:t>
      </w:r>
    </w:p>
    <w:p w:rsidR="00171C01" w:rsidRDefault="00171C01">
      <w:pPr>
        <w:spacing w:line="200" w:lineRule="atLeast"/>
        <w:ind w:firstLine="280"/>
        <w:rPr>
          <w:snapToGrid w:val="0"/>
        </w:rPr>
      </w:pPr>
      <w:r>
        <w:rPr>
          <w:snapToGrid w:val="0"/>
        </w:rPr>
        <w:t>Число групп лекарственных веществ, необходимых для детей, более ограничено, чем для взрослых, однако лекарственных форм требуется больше (соки, капли, таблетки с ограниченным содержанием действующего вещества, суппозитории), так как существуют различия в потребности и путях введения лекарств в зависимости от возраста. Регулярно применяются у детей антибиотики, глюкокортикоиды, анальгетики, антипиретики, отхаркивающие средства (почти всегда секретолитики, как, например, терпены, амброксол, ацетилцистеин), капли от насморка</w:t>
      </w:r>
      <w:r>
        <w:rPr>
          <w:snapToGrid w:val="0"/>
          <w:lang w:val="en-US"/>
        </w:rPr>
        <w:t xml:space="preserve"> (Xylometazolin),</w:t>
      </w:r>
      <w:r>
        <w:rPr>
          <w:snapToGrid w:val="0"/>
        </w:rPr>
        <w:t xml:space="preserve"> инсулин, гормоны щитовидной железы, сердечные гликозиды.</w:t>
      </w:r>
    </w:p>
    <w:p w:rsidR="00171C01" w:rsidRDefault="00171C01">
      <w:pPr>
        <w:spacing w:line="180" w:lineRule="atLeast"/>
        <w:ind w:firstLine="260"/>
        <w:rPr>
          <w:snapToGrid w:val="0"/>
        </w:rPr>
      </w:pPr>
      <w:r>
        <w:rPr>
          <w:snapToGrid w:val="0"/>
        </w:rPr>
        <w:t>Антидиарейные препараты и кишечные антисептики не показаны из-за необходимости замещать потерю жидкости (внутрь).</w:t>
      </w:r>
    </w:p>
    <w:p w:rsidR="00171C01" w:rsidRDefault="00171C01">
      <w:pPr>
        <w:spacing w:line="200" w:lineRule="atLeast"/>
        <w:ind w:firstLine="260"/>
        <w:rPr>
          <w:snapToGrid w:val="0"/>
        </w:rPr>
      </w:pPr>
      <w:r>
        <w:rPr>
          <w:snapToGrid w:val="0"/>
        </w:rPr>
        <w:t>Очень важный и нелегкий вопрос — правильное дозирование лекарственного средства у детей. Не для всех лекарств хорошо известна фармакокинетика их у ребенка, поэтому из-за предосторожности, но во вред ребенку, часто назначается малая доза. Дозированные таблетки в большинстве случаев базируются на статистически обработанных данных, полученных при лечении. Используя новые лекарственные средства во время клинического лечения, измеряют концентрацию их в плазме крови. При фармакокинетических исследованиях для различных возрастных групп кладут в основу объем распределения и значения клиренса.</w:t>
      </w:r>
    </w:p>
    <w:p w:rsidR="00171C01" w:rsidRDefault="00171C01">
      <w:pPr>
        <w:spacing w:line="200" w:lineRule="atLeast"/>
        <w:ind w:firstLine="260"/>
        <w:rPr>
          <w:snapToGrid w:val="0"/>
        </w:rPr>
      </w:pPr>
    </w:p>
    <w:p w:rsidR="00171C01" w:rsidRDefault="00171C01">
      <w:pPr>
        <w:spacing w:before="60" w:line="200" w:lineRule="atLeast"/>
        <w:ind w:firstLine="2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br w:type="page"/>
        <w:t>ОСОБЕННОСТИ ФАРМАКОКИНЕТИКИ</w:t>
      </w:r>
    </w:p>
    <w:p w:rsidR="00171C01" w:rsidRDefault="00171C01">
      <w:pPr>
        <w:spacing w:line="4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Выведение</w:t>
      </w:r>
    </w:p>
    <w:p w:rsidR="00171C01" w:rsidRDefault="00171C01">
      <w:pPr>
        <w:spacing w:before="120" w:line="20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У </w:t>
      </w:r>
      <w:r>
        <w:rPr>
          <w:rFonts w:ascii="Arial" w:hAnsi="Arial"/>
          <w:i/>
          <w:snapToGrid w:val="0"/>
        </w:rPr>
        <w:t>зрелых новорожденных, а</w:t>
      </w:r>
      <w:r>
        <w:rPr>
          <w:rFonts w:ascii="Arial" w:hAnsi="Arial"/>
          <w:snapToGrid w:val="0"/>
        </w:rPr>
        <w:t xml:space="preserve"> тем более у </w:t>
      </w:r>
      <w:r>
        <w:rPr>
          <w:rFonts w:ascii="Arial" w:hAnsi="Arial"/>
          <w:i/>
          <w:snapToGrid w:val="0"/>
        </w:rPr>
        <w:t>недоношенных,</w:t>
      </w:r>
      <w:r>
        <w:rPr>
          <w:rFonts w:ascii="Arial" w:hAnsi="Arial"/>
          <w:snapToGrid w:val="0"/>
        </w:rPr>
        <w:t xml:space="preserve"> способность печени к глюкуронизации, сульфатированию и гидроксилированию чужеродных веществ недостаточно развита. Поэтому периоды полувыведения хорошо жирорастворимых веществ значительно удлинены. Более того, не у всех новорожденных закончен период становления фильтрационного процесса нефронов (что опять-таки зависит от их зрелости), в связи с чем хорошо водорастворимые, ренально элиминирующиеся вещества выводятся в раннем возрасте медленнее. Для некоторых детей грудного возраста печеночная и почечная элиминация совершенно непредсказуема. Созревание практически заканчивается даже у зрелых новорожденных, а тем более у недоношенных детей, через 4—6 нед. Во время этого периода возможно значительное пролонгирование элиминации (см. табл. 32.1), что может привести к относительному передозированию препарата. Так, хлорамфеникол вызывает нарушение кровообращения — коллапс («серый» синдром). Тетрациклины приводят к усиленной выработке ликвора (гидроцефалии). Поэтому «безопасность» детей этого возраста может быть обеспечена только с помощью измерения концентрации лекарственного вещества в плазме крови.</w:t>
      </w:r>
    </w:p>
    <w:p w:rsidR="00171C01" w:rsidRDefault="00171C01">
      <w:pPr>
        <w:spacing w:before="120" w:line="200" w:lineRule="atLeast"/>
        <w:ind w:firstLine="260"/>
        <w:rPr>
          <w:rFonts w:ascii="Arial" w:hAnsi="Arial"/>
          <w:snapToGrid w:val="0"/>
        </w:rPr>
      </w:pPr>
    </w:p>
    <w:p w:rsidR="00171C01" w:rsidRDefault="00171C01">
      <w:pPr>
        <w:spacing w:line="20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Правило объема распределения и поверхности тела</w:t>
      </w:r>
    </w:p>
    <w:p w:rsidR="00171C01" w:rsidRDefault="00171C01">
      <w:pPr>
        <w:spacing w:line="200" w:lineRule="atLeast"/>
        <w:rPr>
          <w:rFonts w:ascii="Arial" w:hAnsi="Arial"/>
          <w:snapToGrid w:val="0"/>
        </w:rPr>
      </w:pPr>
      <w:r>
        <w:rPr>
          <w:rFonts w:ascii="Arial" w:hAnsi="Arial"/>
          <w:i/>
          <w:snapToGrid w:val="0"/>
        </w:rPr>
        <w:t>Константы</w:t>
      </w:r>
      <w:r>
        <w:rPr>
          <w:rFonts w:ascii="Arial" w:hAnsi="Arial"/>
          <w:snapToGrid w:val="0"/>
        </w:rPr>
        <w:t xml:space="preserve"> элиминации в первый год жизни практически не играют никакой роли и не обусловлены возрастными изменениями. Однако клиренс почти всех лекарственных веществ больше, чем у взрослых, так как объем распределения зависит от возраста. Доза лекарства для детей раннего возраста может быть рассчитана в зависимости от объема распределения по дозе взрослых. Правда, необходимо всегда иметь в виду, что определенные лекарственные средства, например теофиллин, у детей выводятся быстрее.</w:t>
      </w:r>
    </w:p>
    <w:p w:rsidR="00171C01" w:rsidRDefault="00171C01">
      <w:pPr>
        <w:spacing w:line="20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Только некоторые вещества, такие как этанол, распределяются в жидкости всего организма. И это пространство распределения является пропорциональным массе тела. Многие же лекарственные препараты распределяются в экстрацеллюлярной жидкости</w:t>
      </w:r>
      <w:r>
        <w:rPr>
          <w:rFonts w:ascii="Arial" w:hAnsi="Arial"/>
          <w:snapToGrid w:val="0"/>
          <w:lang w:val="en-US"/>
        </w:rPr>
        <w:t xml:space="preserve"> (EZR). </w:t>
      </w:r>
      <w:r>
        <w:rPr>
          <w:rFonts w:ascii="Arial" w:hAnsi="Arial"/>
          <w:snapToGrid w:val="0"/>
        </w:rPr>
        <w:t xml:space="preserve">Экстрацеллюлярное пространство имеет ламинарную форму с минимальной высотой (расстояние между клетками) и практически определяется только растяжением своей поверхности. Экспериментально установлена его пропорциональность поверхности тела (КО): </w:t>
      </w:r>
      <w:r>
        <w:rPr>
          <w:rFonts w:ascii="Arial" w:hAnsi="Arial"/>
          <w:snapToGrid w:val="0"/>
          <w:lang w:val="en-US"/>
        </w:rPr>
        <w:t>EZR=</w:t>
      </w:r>
      <w:r>
        <w:rPr>
          <w:rFonts w:ascii="Arial" w:hAnsi="Arial"/>
          <w:snapToGrid w:val="0"/>
        </w:rPr>
        <w:t xml:space="preserve"> 6,04 х КО</w:t>
      </w:r>
      <w:r>
        <w:rPr>
          <w:rFonts w:ascii="Arial" w:hAnsi="Arial"/>
          <w:snapToGrid w:val="0"/>
          <w:vertAlign w:val="superscript"/>
        </w:rPr>
        <w:t>0,998</w:t>
      </w:r>
      <w:r>
        <w:rPr>
          <w:rFonts w:ascii="Arial" w:hAnsi="Arial"/>
          <w:snapToGrid w:val="0"/>
        </w:rPr>
        <w:t>. Нарушения в электролитном состоянии (лихорадка, рвота, эксикоз, отеки) изменяют это соотношение, однако у детей это изменение является особо значительным. Хорошо жирорастворимые вещества, которые транспортируются в крови с помощью обратимого связывания с белками, могут откладываться на мембранных структурах и распределяться равным образом одинаково и пропорционально поверхности.</w:t>
      </w:r>
    </w:p>
    <w:p w:rsidR="00171C01" w:rsidRDefault="00171C01">
      <w:pPr>
        <w:spacing w:line="20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Другие лекарственные вещества с сильными липофильными свойствами, например центрально действующие (фенобарбитал, антиэпилептические средства, анестетики), распределяются в жировой ткани, которая у детей имеет больший объем по сравнению со взрослыми.</w:t>
      </w:r>
    </w:p>
    <w:p w:rsidR="00171C01" w:rsidRDefault="00576E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2.1pt;margin-top:33.4pt;width:207.75pt;height:30.65pt;z-index:251657728" o:allowincell="f">
            <v:imagedata r:id="rId4" o:title=""/>
            <w10:wrap type="topAndBottom"/>
          </v:shape>
        </w:pict>
      </w:r>
      <w:r w:rsidR="00171C01">
        <w:rPr>
          <w:rFonts w:ascii="Arial" w:hAnsi="Arial"/>
          <w:snapToGrid w:val="0"/>
        </w:rPr>
        <w:t xml:space="preserve">Эти разъяснения делают понятным правило поверхности тела, которое годится для многих, но все же не для всех лекарственных веществ. Его формула: </w:t>
      </w:r>
    </w:p>
    <w:p w:rsidR="00171C01" w:rsidRDefault="00171C01">
      <w:pPr>
        <w:spacing w:line="180" w:lineRule="atLeast"/>
        <w:rPr>
          <w:snapToGrid w:val="0"/>
        </w:rPr>
      </w:pPr>
    </w:p>
    <w:p w:rsidR="00171C01" w:rsidRDefault="00171C01">
      <w:pPr>
        <w:spacing w:before="100"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достигает при хорошем питании вида 0,09 х</w:t>
      </w:r>
      <w:r>
        <w:rPr>
          <w:rFonts w:ascii="Arial" w:hAnsi="Arial"/>
          <w:snapToGrid w:val="0"/>
          <w:lang w:val="en-US"/>
        </w:rPr>
        <w:t xml:space="preserve"> W</w:t>
      </w:r>
      <w:r>
        <w:rPr>
          <w:rFonts w:ascii="Arial" w:hAnsi="Arial"/>
          <w:smallCaps/>
          <w:snapToGrid w:val="0"/>
          <w:lang w:val="en-US"/>
        </w:rPr>
        <w:t>(кг)</w:t>
      </w:r>
      <w:r>
        <w:rPr>
          <w:rFonts w:ascii="Arial" w:hAnsi="Arial"/>
          <w:snapToGrid w:val="0"/>
          <w:vertAlign w:val="superscript"/>
          <w:lang w:val="en-US"/>
        </w:rPr>
        <w:t>0,73</w:t>
      </w:r>
      <w:r>
        <w:rPr>
          <w:rFonts w:ascii="Arial" w:hAnsi="Arial"/>
          <w:smallCaps/>
          <w:snapToGrid w:val="0"/>
          <w:lang w:val="en-US"/>
        </w:rPr>
        <w:t>,</w:t>
      </w:r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 xml:space="preserve">где </w:t>
      </w:r>
    </w:p>
    <w:p w:rsidR="00171C01" w:rsidRDefault="00171C01">
      <w:pPr>
        <w:spacing w:before="100"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  <w:lang w:val="en-US"/>
        </w:rPr>
        <w:t>ND</w:t>
      </w:r>
      <w:r>
        <w:rPr>
          <w:rFonts w:ascii="Arial" w:hAnsi="Arial"/>
          <w:snapToGrid w:val="0"/>
        </w:rPr>
        <w:t xml:space="preserve"> — нормальная доза; </w:t>
      </w:r>
    </w:p>
    <w:p w:rsidR="00171C01" w:rsidRDefault="00171C01">
      <w:pPr>
        <w:spacing w:before="100"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  <w:lang w:val="en-US"/>
        </w:rPr>
        <w:t>W</w:t>
      </w:r>
      <w:r>
        <w:rPr>
          <w:rFonts w:ascii="Arial" w:hAnsi="Arial"/>
          <w:snapToGrid w:val="0"/>
        </w:rPr>
        <w:t xml:space="preserve"> — масса; </w:t>
      </w:r>
    </w:p>
    <w:p w:rsidR="00171C01" w:rsidRDefault="00171C01">
      <w:pPr>
        <w:spacing w:before="100"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 — поверхность тела.</w:t>
      </w:r>
    </w:p>
    <w:p w:rsidR="00171C01" w:rsidRDefault="00171C01">
      <w:pPr>
        <w:spacing w:before="160" w:line="180" w:lineRule="atLeast"/>
        <w:ind w:firstLine="2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Можно сделать вывод, что органы ребенка «плавают в ванной», размеры которой относительно больше, чем у взрослых.</w:t>
      </w:r>
    </w:p>
    <w:p w:rsidR="00171C01" w:rsidRDefault="00171C01">
      <w:pPr>
        <w:spacing w:line="180" w:lineRule="atLeast"/>
        <w:ind w:firstLine="28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Если придерживаться правила поверхности тела, то передозирование почти невозможно, а вот малая дозировка вероятна. Это играет роль при назначении противоэпилептических препаратов. Поэтому в таких случаях следует использовать различные приемы расчета, чтобы достичь более высокой точности дозирования (см. табл. 32.2).</w:t>
      </w:r>
    </w:p>
    <w:p w:rsidR="00171C01" w:rsidRDefault="00171C01">
      <w:pPr>
        <w:spacing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некоторых лекарственных средств правило поверхности не применяется. Так, например, кодеин для любого возраста рассчитывается в зависимости от массы тела, приблизительно 0,5 мг/кг.</w:t>
      </w:r>
    </w:p>
    <w:p w:rsidR="00171C01" w:rsidRDefault="00171C01">
      <w:pPr>
        <w:spacing w:line="180" w:lineRule="atLeast"/>
        <w:ind w:firstLine="260"/>
        <w:rPr>
          <w:rFonts w:ascii="Arial" w:hAnsi="Arial"/>
          <w:snapToGrid w:val="0"/>
        </w:rPr>
      </w:pPr>
    </w:p>
    <w:p w:rsidR="00171C01" w:rsidRDefault="00171C01">
      <w:pPr>
        <w:pStyle w:val="a3"/>
        <w:rPr>
          <w:sz w:val="24"/>
        </w:rPr>
      </w:pPr>
      <w:r>
        <w:rPr>
          <w:sz w:val="24"/>
        </w:rPr>
        <w:t>НЕЖЕЛАТЕЛЬНЫЕ ПОБОЧНЫЕ ЭФФЕКТЫ, ОБУСЛОВЛЕННЫЕ НЕЗРЕЛОСТЬЮ И НЕДОРАЗВИТИЕМ ОРГАНИЗМА</w:t>
      </w:r>
    </w:p>
    <w:p w:rsidR="00171C01" w:rsidRDefault="00171C01">
      <w:pPr>
        <w:spacing w:before="100" w:line="180" w:lineRule="atLeast"/>
        <w:ind w:firstLine="260"/>
        <w:rPr>
          <w:snapToGrid w:val="0"/>
        </w:rPr>
      </w:pPr>
      <w:r>
        <w:rPr>
          <w:snapToGrid w:val="0"/>
        </w:rPr>
        <w:t>Будут обсуждены только такие противопоказания и нежелательные побочные эффекты, которые имеют особое значение для детей. Однако при назначении лекарств детям следует всегда учитывать противопоказания и нежелательные эффекты, описанные для взрослых.</w:t>
      </w:r>
    </w:p>
    <w:p w:rsidR="00171C01" w:rsidRDefault="00171C01"/>
    <w:p w:rsidR="00171C01" w:rsidRDefault="00171C01">
      <w:pPr>
        <w:spacing w:line="180" w:lineRule="atLeast"/>
        <w:ind w:firstLine="2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Новорожденным противопоказаны препараты, обладающие </w:t>
      </w:r>
      <w:r>
        <w:rPr>
          <w:rFonts w:ascii="Arial" w:hAnsi="Arial"/>
          <w:i/>
          <w:snapToGrid w:val="0"/>
        </w:rPr>
        <w:t>большой способностью связываться с протеинами,</w:t>
      </w:r>
      <w:r>
        <w:rPr>
          <w:rFonts w:ascii="Arial" w:hAnsi="Arial"/>
          <w:snapToGrid w:val="0"/>
        </w:rPr>
        <w:t xml:space="preserve"> концентрация которых в крови составляет 1—10 мкг/мл. Эти лекарства связывают значительное количество плазменных альбуминов и увеличивают содержание свободного билирубина, что может привести у детей первых 2 нед жизни, а у незрелых новорожденных и позже, к ядерной желтухе. Значение билирубина около 100 мкг/мл при нормальном разрушении эритроцитов в ретикулоэндотелиальной системе в этом возрасте принимается за физиологическую норму, так как отмечается </w:t>
      </w:r>
      <w:r>
        <w:rPr>
          <w:rFonts w:ascii="Arial" w:hAnsi="Arial"/>
          <w:i/>
          <w:snapToGrid w:val="0"/>
        </w:rPr>
        <w:t xml:space="preserve">«становление функций". </w:t>
      </w:r>
      <w:r>
        <w:rPr>
          <w:rFonts w:ascii="Arial" w:hAnsi="Arial"/>
          <w:snapToGrid w:val="0"/>
        </w:rPr>
        <w:t>Противопоказано назначение сульфаниламидов и производных сульфонилмочевины во время беременности и родов!</w:t>
      </w:r>
    </w:p>
    <w:p w:rsidR="00171C01" w:rsidRDefault="00171C01">
      <w:pPr>
        <w:spacing w:line="180" w:lineRule="atLeast"/>
        <w:ind w:firstLine="280"/>
        <w:rPr>
          <w:snapToGrid w:val="0"/>
        </w:rPr>
      </w:pPr>
      <w:r>
        <w:rPr>
          <w:snapToGrid w:val="0"/>
        </w:rPr>
        <w:t xml:space="preserve">Любое длительное лечение </w:t>
      </w:r>
      <w:r>
        <w:rPr>
          <w:i/>
          <w:snapToGrid w:val="0"/>
        </w:rPr>
        <w:t>глюкокортикоидами</w:t>
      </w:r>
      <w:r>
        <w:rPr>
          <w:snapToGrid w:val="0"/>
        </w:rPr>
        <w:t xml:space="preserve"> приводит к замедлению роста и возникновению карликовости. Об этом следует помнить в тех случаях, когда методы наблюдения не позволяют вовремя распознать гиперкортицизм, чего трудно избежать, например, при заместительной терапии вследствие недостаточности надпочечников (адреногенитальный синдром).</w:t>
      </w:r>
    </w:p>
    <w:p w:rsidR="00171C01" w:rsidRDefault="00171C01">
      <w:pPr>
        <w:spacing w:line="180" w:lineRule="atLeast"/>
        <w:ind w:firstLine="280"/>
        <w:rPr>
          <w:snapToGrid w:val="0"/>
        </w:rPr>
      </w:pPr>
      <w:r>
        <w:rPr>
          <w:snapToGrid w:val="0"/>
        </w:rPr>
        <w:t xml:space="preserve">Не следует назначать </w:t>
      </w:r>
      <w:r>
        <w:rPr>
          <w:i/>
          <w:snapToGrid w:val="0"/>
        </w:rPr>
        <w:t>тетрациклины</w:t>
      </w:r>
      <w:r>
        <w:rPr>
          <w:snapToGrid w:val="0"/>
        </w:rPr>
        <w:t xml:space="preserve"> детям первых 5 лет жизни и </w:t>
      </w:r>
      <w:r>
        <w:rPr>
          <w:i/>
          <w:snapToGrid w:val="0"/>
        </w:rPr>
        <w:t>беременным.</w:t>
      </w:r>
      <w:r>
        <w:rPr>
          <w:snapToGrid w:val="0"/>
        </w:rPr>
        <w:t xml:space="preserve"> Образование кальциевых комплексов приводит к замедлению роста плода, изменению цвета дентина с поражением кариесом зубов, которые закладывались во время лечения тетрациклином (см. 27.4.4).</w:t>
      </w:r>
    </w:p>
    <w:p w:rsidR="00171C01" w:rsidRDefault="00171C01">
      <w:pPr>
        <w:spacing w:line="180" w:lineRule="atLeast"/>
        <w:ind w:firstLine="300"/>
        <w:rPr>
          <w:snapToGrid w:val="0"/>
        </w:rPr>
      </w:pPr>
      <w:r>
        <w:rPr>
          <w:i/>
          <w:snapToGrid w:val="0"/>
        </w:rPr>
        <w:t>Вещества, тормозящие гиразу,</w:t>
      </w:r>
      <w:r>
        <w:rPr>
          <w:snapToGrid w:val="0"/>
        </w:rPr>
        <w:t xml:space="preserve"> не следует применять во время всего периода роста, так как опытами на животных доказаны такие тяжелые повреждения хрящей, что повторить подобное исследование на людях совершенно невозможно.</w:t>
      </w:r>
    </w:p>
    <w:p w:rsidR="00171C01" w:rsidRDefault="00171C01">
      <w:pPr>
        <w:spacing w:line="180" w:lineRule="atLeast"/>
        <w:ind w:firstLine="300"/>
        <w:rPr>
          <w:snapToGrid w:val="0"/>
        </w:rPr>
      </w:pPr>
      <w:r>
        <w:rPr>
          <w:i/>
          <w:snapToGrid w:val="0"/>
        </w:rPr>
        <w:t>Средства, используемые при недостатке гормонов и витаминов:</w:t>
      </w:r>
      <w:r>
        <w:rPr>
          <w:snapToGrid w:val="0"/>
        </w:rPr>
        <w:t xml:space="preserve"> неэффективны противодиабетические средства внутрь (см. 25.3.1).</w:t>
      </w:r>
    </w:p>
    <w:p w:rsidR="00171C01" w:rsidRDefault="00171C01">
      <w:pPr>
        <w:spacing w:line="200" w:lineRule="atLeast"/>
        <w:ind w:firstLine="280"/>
        <w:rPr>
          <w:snapToGrid w:val="0"/>
        </w:rPr>
      </w:pPr>
      <w:r>
        <w:rPr>
          <w:snapToGrid w:val="0"/>
        </w:rPr>
        <w:t>Передозировка витамина А также всегда опасна, когда проводится профилактика рахита мультивитаминными препаратами (неблагоприятные количественные соотношения между витамином</w:t>
      </w:r>
      <w:r>
        <w:rPr>
          <w:snapToGrid w:val="0"/>
          <w:lang w:val="en-US"/>
        </w:rPr>
        <w:t xml:space="preserve"> D</w:t>
      </w:r>
      <w:r>
        <w:rPr>
          <w:snapToGrid w:val="0"/>
        </w:rPr>
        <w:t xml:space="preserve"> и витамином А). Наряду с известными симптомами гипервитаминоза А (кожные изменения, изменения глаз и гастроинтестинального тракта) можно назвать еще один, который встречается у детей грудного возраста и обусловлен повышенной выработкой ликвора — увеличение объема головы.</w:t>
      </w:r>
    </w:p>
    <w:p w:rsidR="00171C01" w:rsidRDefault="00171C01">
      <w:pPr>
        <w:spacing w:line="180" w:lineRule="atLeast"/>
        <w:ind w:firstLine="280"/>
        <w:rPr>
          <w:snapToGrid w:val="0"/>
        </w:rPr>
      </w:pPr>
      <w:r>
        <w:rPr>
          <w:i/>
          <w:snapToGrid w:val="0"/>
        </w:rPr>
        <w:t>Индометацин</w:t>
      </w:r>
      <w:r>
        <w:rPr>
          <w:snapToGrid w:val="0"/>
        </w:rPr>
        <w:t xml:space="preserve"> снижает и без того низкую гломерулярную фильтрацию новорожденных в процентном отношении сильнее, чем у взрослых.</w:t>
      </w:r>
    </w:p>
    <w:p w:rsidR="00171C01" w:rsidRDefault="00171C01">
      <w:pPr>
        <w:spacing w:line="180" w:lineRule="atLeast"/>
        <w:ind w:firstLine="280"/>
        <w:rPr>
          <w:snapToGrid w:val="0"/>
        </w:rPr>
      </w:pPr>
      <w:r>
        <w:rPr>
          <w:snapToGrid w:val="0"/>
        </w:rPr>
        <w:t xml:space="preserve">Нейрологическое обследование, а также клинические исследования мозга и вестибулярной функции ребенка чрезвычайно затруднены, поэтому некоторые повреждения иногда становятся необратимыми. С другой стороны, нарушения походки могут быть следствием длительного пребывания в постели. На этом основании следует с особой осторожностью применять потенциально </w:t>
      </w:r>
      <w:r>
        <w:rPr>
          <w:i/>
          <w:snapToGrid w:val="0"/>
        </w:rPr>
        <w:t>ототоксичные,</w:t>
      </w:r>
      <w:r>
        <w:rPr>
          <w:snapToGrid w:val="0"/>
        </w:rPr>
        <w:t xml:space="preserve"> и соответственно </w:t>
      </w:r>
      <w:r>
        <w:rPr>
          <w:i/>
          <w:snapToGrid w:val="0"/>
        </w:rPr>
        <w:t>нейротоксичные,</w:t>
      </w:r>
      <w:r>
        <w:rPr>
          <w:snapToGrid w:val="0"/>
        </w:rPr>
        <w:t xml:space="preserve"> лекарственные вещества, такие, например, как антибиотики аминогликозидового ряда и амфотерицин В.</w:t>
      </w:r>
    </w:p>
    <w:p w:rsidR="00171C01" w:rsidRDefault="00171C01">
      <w:pPr>
        <w:spacing w:line="180" w:lineRule="atLeast"/>
        <w:ind w:firstLine="280"/>
        <w:rPr>
          <w:snapToGrid w:val="0"/>
        </w:rPr>
      </w:pPr>
      <w:r>
        <w:rPr>
          <w:i/>
          <w:snapToGrid w:val="0"/>
        </w:rPr>
        <w:t>Фенотиазин</w:t>
      </w:r>
      <w:r>
        <w:rPr>
          <w:snapToGrid w:val="0"/>
        </w:rPr>
        <w:t xml:space="preserve"> и некоторые другие лекарственные средства, обладающие сходным нейролептическим действием, приводят к возникновению паркинсоноподобных синдромов. Даже при правильной дозировке именно у детей эти препараты часто вызывают тяжелые дискинезии, тики, гримасы, кривошею. С другой стороны, вышеназванные симптомы имитируют клиническую картину психического заболевания (см. 22.2.4). Подобные признаки наблюдаются также при приеме метоклопрамида, который в детской практике наиболее часто назначают при диспептических нарушениях (см. 15.3.3). В качестве антидота эффективен бипериден — внутривенно медленно.</w:t>
      </w:r>
    </w:p>
    <w:p w:rsidR="00171C01" w:rsidRDefault="00171C01">
      <w:pPr>
        <w:spacing w:before="340" w:line="18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ЛЕКАРСТВЕННЫЕ ФОРМЫ И ИХ ПРИМЕНЕНИЕ</w:t>
      </w:r>
    </w:p>
    <w:p w:rsidR="00171C01" w:rsidRDefault="00171C01">
      <w:pPr>
        <w:spacing w:before="60" w:line="200" w:lineRule="atLeast"/>
        <w:ind w:firstLine="280"/>
        <w:rPr>
          <w:snapToGrid w:val="0"/>
        </w:rPr>
      </w:pPr>
      <w:r>
        <w:rPr>
          <w:snapToGrid w:val="0"/>
        </w:rPr>
        <w:t>Нередко хорошо действующее и показанное лекарственное вещество считается эффективным, если оно назначается в малых дозах. Всем другим моментам часто не придают никакого значения.</w:t>
      </w:r>
    </w:p>
    <w:p w:rsidR="00171C01" w:rsidRDefault="00171C01">
      <w:pPr>
        <w:spacing w:line="200" w:lineRule="atLeast"/>
        <w:ind w:firstLine="280"/>
        <w:rPr>
          <w:snapToGrid w:val="0"/>
        </w:rPr>
      </w:pPr>
      <w:r>
        <w:rPr>
          <w:snapToGrid w:val="0"/>
        </w:rPr>
        <w:t>Иногда ребенок отказывается принимать лекарство внутрь или реагирует рвотой на принудительную дачу его. Причиной этого может быть объем, вкус лекарства (например, открытые капсулы), хотя виноваты в этом, возможно, лица, обслуживающие ребенка. Мать и медсестра могли дать это лекарство и каким-либо безопасным способом, если они знают о риске заболевания и полезности проводимой терапии. Врач должен был передать им эти знания.</w:t>
      </w:r>
    </w:p>
    <w:p w:rsidR="00171C01" w:rsidRDefault="00171C01">
      <w:r>
        <w:rPr>
          <w:snapToGrid w:val="0"/>
        </w:rPr>
        <w:t xml:space="preserve">Использование суппозиториев допустимо только для тех лекарственных веществ, действие которых хорошо известно, например, для антипиретиков, анальгетиков и седативных препаратов, когда можно дозировать их эффект. Резорбция из суппозиториев в большинстве случаев чрезвычайно ограничена и непостоянна. Поэтому не следует использовать антибиотики или глюкокортикоиды в суппозиториях. Эти лекарственные препараты назначают, ориентируясь на концентрацию в плазме крови. </w:t>
      </w:r>
    </w:p>
    <w:p w:rsidR="00171C01" w:rsidRDefault="00171C01">
      <w:bookmarkStart w:id="0" w:name="_GoBack"/>
      <w:bookmarkEnd w:id="0"/>
    </w:p>
    <w:sectPr w:rsidR="00171C01">
      <w:pgSz w:w="11907" w:h="16840" w:code="9"/>
      <w:pgMar w:top="1134" w:right="851" w:bottom="1134" w:left="141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Win95BT">
    <w:altName w:val="Constantia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9C"/>
    <w:rsid w:val="00171C01"/>
    <w:rsid w:val="00576EF1"/>
    <w:rsid w:val="0071189C"/>
    <w:rsid w:val="00F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CAA7EF2-C7E7-41C3-81F7-FA8B5BD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1">
    <w:name w:val="heading 1"/>
    <w:basedOn w:val="a"/>
    <w:qFormat/>
    <w:pPr>
      <w:keepNext/>
      <w:ind w:firstLine="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36" w:firstLine="0"/>
    </w:pPr>
    <w:rPr>
      <w:i/>
      <w:kern w:val="20"/>
    </w:rPr>
  </w:style>
  <w:style w:type="paragraph" w:customStyle="1" w:styleId="10">
    <w:name w:val="Стиль1"/>
    <w:basedOn w:val="a"/>
    <w:rPr>
      <w:rFonts w:ascii="Arial" w:hAnsi="Arial"/>
    </w:rPr>
  </w:style>
  <w:style w:type="paragraph" w:styleId="a3">
    <w:name w:val="Body Text Indent"/>
    <w:basedOn w:val="a"/>
    <w:semiHidden/>
    <w:pPr>
      <w:spacing w:line="200" w:lineRule="atLeast"/>
    </w:pPr>
    <w:rPr>
      <w:rFonts w:ascii="Arial" w:hAnsi="Arial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</vt:lpstr>
    </vt:vector>
  </TitlesOfParts>
  <Company>ТГМА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</dc:title>
  <dc:subject/>
  <dc:creator>Бармин Дмитрий</dc:creator>
  <cp:keywords/>
  <cp:lastModifiedBy>admin</cp:lastModifiedBy>
  <cp:revision>2</cp:revision>
  <dcterms:created xsi:type="dcterms:W3CDTF">2014-02-13T13:20:00Z</dcterms:created>
  <dcterms:modified xsi:type="dcterms:W3CDTF">2014-02-13T13:20:00Z</dcterms:modified>
</cp:coreProperties>
</file>