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DD1" w:rsidRPr="00976F4E" w:rsidRDefault="003E7DD1" w:rsidP="0000332E">
      <w:pPr>
        <w:pStyle w:val="2"/>
        <w:tabs>
          <w:tab w:val="clear" w:pos="576"/>
        </w:tabs>
        <w:spacing w:line="360" w:lineRule="auto"/>
        <w:ind w:right="-6"/>
        <w:jc w:val="center"/>
        <w:rPr>
          <w:b w:val="0"/>
          <w:bCs w:val="0"/>
          <w:i w:val="0"/>
          <w:iCs w:val="0"/>
        </w:rPr>
      </w:pPr>
      <w:r w:rsidRPr="00976F4E">
        <w:rPr>
          <w:b w:val="0"/>
          <w:bCs w:val="0"/>
          <w:i w:val="0"/>
          <w:iCs w:val="0"/>
        </w:rPr>
        <w:t>Министерство транспорта Российской Федерации</w:t>
      </w:r>
    </w:p>
    <w:p w:rsidR="003E7DD1" w:rsidRPr="0000332E" w:rsidRDefault="003E7DD1" w:rsidP="0000332E">
      <w:pPr>
        <w:pStyle w:val="2"/>
        <w:tabs>
          <w:tab w:val="clear" w:pos="576"/>
        </w:tabs>
        <w:spacing w:line="360" w:lineRule="auto"/>
        <w:ind w:right="-6"/>
        <w:jc w:val="center"/>
        <w:rPr>
          <w:b w:val="0"/>
          <w:bCs w:val="0"/>
          <w:i w:val="0"/>
          <w:iCs w:val="0"/>
        </w:rPr>
      </w:pPr>
      <w:r w:rsidRPr="0000332E">
        <w:rPr>
          <w:b w:val="0"/>
          <w:bCs w:val="0"/>
          <w:i w:val="0"/>
          <w:iCs w:val="0"/>
        </w:rPr>
        <w:t>ФГОУ ВПО НГАВТ</w:t>
      </w: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7DD1" w:rsidRPr="0000332E" w:rsidRDefault="003E7DD1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32E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:rsidR="003E7DD1" w:rsidRPr="0000332E" w:rsidRDefault="003E7DD1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32E">
        <w:rPr>
          <w:rFonts w:ascii="Times New Roman" w:hAnsi="Times New Roman" w:cs="Times New Roman"/>
          <w:b/>
          <w:bCs/>
          <w:sz w:val="28"/>
          <w:szCs w:val="28"/>
        </w:rPr>
        <w:t>по дисциплине «Грузоведение»</w:t>
      </w:r>
    </w:p>
    <w:p w:rsidR="003E7DD1" w:rsidRDefault="00976F4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32E">
        <w:rPr>
          <w:rFonts w:ascii="Times New Roman" w:hAnsi="Times New Roman" w:cs="Times New Roman"/>
          <w:b/>
          <w:bCs/>
          <w:sz w:val="28"/>
          <w:szCs w:val="28"/>
        </w:rPr>
        <w:t>Тема: Особенности перевозки кирпича, леса и нефтепродуктов</w:t>
      </w: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0332E" w:rsidRP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D1" w:rsidRPr="00976F4E" w:rsidRDefault="003E7DD1" w:rsidP="0000332E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Выполнил: Орлов Е.В.</w:t>
      </w:r>
    </w:p>
    <w:p w:rsidR="003E7DD1" w:rsidRDefault="003E7DD1" w:rsidP="0000332E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Проверил: Брюханов Ю.Г.</w:t>
      </w: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Pr="00976F4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</w:p>
    <w:p w:rsidR="0000332E" w:rsidRDefault="003E7DD1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Новосибирск – 2010 г.</w:t>
      </w:r>
    </w:p>
    <w:p w:rsidR="003E7DD1" w:rsidRP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7DD1" w:rsidRPr="0000332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одержание</w:t>
      </w:r>
    </w:p>
    <w:p w:rsidR="003E7DD1" w:rsidRPr="00976F4E" w:rsidRDefault="003E7DD1" w:rsidP="0000332E">
      <w:pPr>
        <w:spacing w:after="0"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3E7DD1" w:rsidRPr="00976F4E" w:rsidRDefault="0000332E" w:rsidP="0000332E">
      <w:pPr>
        <w:pStyle w:val="a3"/>
        <w:spacing w:after="0" w:line="360" w:lineRule="auto"/>
        <w:ind w:left="0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E7DD1" w:rsidRPr="00976F4E">
        <w:rPr>
          <w:rFonts w:ascii="Times New Roman" w:hAnsi="Times New Roman" w:cs="Times New Roman"/>
          <w:sz w:val="28"/>
          <w:szCs w:val="28"/>
        </w:rPr>
        <w:t>Кирпич</w:t>
      </w:r>
    </w:p>
    <w:p w:rsidR="003E7DD1" w:rsidRPr="00976F4E" w:rsidRDefault="0000332E" w:rsidP="0000332E">
      <w:pPr>
        <w:pStyle w:val="a3"/>
        <w:spacing w:after="0" w:line="360" w:lineRule="auto"/>
        <w:ind w:left="0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E7DD1" w:rsidRPr="00976F4E">
        <w:rPr>
          <w:rFonts w:ascii="Times New Roman" w:hAnsi="Times New Roman" w:cs="Times New Roman"/>
          <w:sz w:val="28"/>
          <w:szCs w:val="28"/>
        </w:rPr>
        <w:t>Лес Круглый</w:t>
      </w:r>
    </w:p>
    <w:p w:rsidR="003E7DD1" w:rsidRDefault="0000332E" w:rsidP="0000332E">
      <w:pPr>
        <w:pStyle w:val="a3"/>
        <w:spacing w:after="0" w:line="360" w:lineRule="auto"/>
        <w:ind w:left="0" w:right="-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E7DD1" w:rsidRPr="00976F4E">
        <w:rPr>
          <w:rFonts w:ascii="Times New Roman" w:hAnsi="Times New Roman" w:cs="Times New Roman"/>
          <w:sz w:val="28"/>
          <w:szCs w:val="28"/>
        </w:rPr>
        <w:t>Нефтепродукты</w:t>
      </w:r>
    </w:p>
    <w:p w:rsidR="0000332E" w:rsidRDefault="0000332E" w:rsidP="0000332E">
      <w:pPr>
        <w:pStyle w:val="a3"/>
        <w:spacing w:after="0" w:line="360" w:lineRule="auto"/>
        <w:ind w:left="0" w:right="-6"/>
        <w:rPr>
          <w:rFonts w:ascii="Times New Roman" w:hAnsi="Times New Roman" w:cs="Times New Roman"/>
          <w:sz w:val="28"/>
          <w:szCs w:val="28"/>
        </w:rPr>
      </w:pPr>
    </w:p>
    <w:p w:rsidR="003E7DD1" w:rsidRDefault="0000332E" w:rsidP="0000332E">
      <w:pPr>
        <w:pStyle w:val="a3"/>
        <w:spacing w:after="0" w:line="360" w:lineRule="auto"/>
        <w:ind w:left="0"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0332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3E7DD1" w:rsidRPr="0000332E">
        <w:rPr>
          <w:rFonts w:ascii="Times New Roman" w:hAnsi="Times New Roman" w:cs="Times New Roman"/>
          <w:b/>
          <w:bCs/>
          <w:sz w:val="28"/>
          <w:szCs w:val="28"/>
        </w:rPr>
        <w:t>Кирпич</w:t>
      </w:r>
    </w:p>
    <w:p w:rsidR="0000332E" w:rsidRPr="0000332E" w:rsidRDefault="0000332E" w:rsidP="0000332E">
      <w:pPr>
        <w:pStyle w:val="a3"/>
        <w:spacing w:after="0" w:line="360" w:lineRule="auto"/>
        <w:ind w:left="0"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D1" w:rsidRPr="00976F4E" w:rsidRDefault="00976F4E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 </w:t>
      </w:r>
      <w:r w:rsidR="003E7DD1" w:rsidRPr="00976F4E">
        <w:rPr>
          <w:rFonts w:ascii="Times New Roman" w:hAnsi="Times New Roman" w:cs="Times New Roman"/>
          <w:sz w:val="28"/>
          <w:szCs w:val="28"/>
        </w:rPr>
        <w:t>Равномерно обожженный искусственный камень, установленной формы и размеров, изготавливается из глины, в которую иногда добавляют различные примеси. Стандартные размеры: 250Ч 125Ч60 мм, масса 3,5-4 кг. Подвержен механическим повреждениям, особенно недожженный. Обладает малой пористостью и влагопоглощаемостью. Практически не реагирует на воздействие внешней среды. Нейтральный груз. Предъявляется к перевозке в пакетах, в которых кирпич укладывается плашмя или чаще "елочкой".</w:t>
      </w:r>
      <w:r w:rsidRPr="00976F4E">
        <w:rPr>
          <w:rFonts w:ascii="Times New Roman" w:hAnsi="Times New Roman" w:cs="Times New Roman"/>
          <w:sz w:val="28"/>
          <w:szCs w:val="28"/>
        </w:rPr>
        <w:t xml:space="preserve"> </w:t>
      </w:r>
      <w:r w:rsidR="003E7DD1" w:rsidRPr="00976F4E">
        <w:rPr>
          <w:rFonts w:ascii="Times New Roman" w:hAnsi="Times New Roman" w:cs="Times New Roman"/>
          <w:sz w:val="28"/>
          <w:szCs w:val="28"/>
        </w:rPr>
        <w:t xml:space="preserve">Последние - менее предпочтительнее, поскольку при укладке пакетов один на другой трудно обеспечить хорошую устойчивость верхних пакетов, особенно в условиях морской перевозки.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УПО - 0,6-0,9 м3/т.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В последние годы часто пакеты предъявляются к перевозке в термоусадочной пленке, что улучает условия транспортировки кирпича. Может быть предъявлен к перевозке также легковесный (пористый) кирпич, масса - 1,2-2,4 кг,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УПО-1,0-1,1 м3/т, и пустотелый, УПО-1,5-1,7 мЗ/т.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Последние отличаются несколько большими размерами. Легковесный кирпич способен впитывать влагу, которая замерзая, делает его менее прочным.</w:t>
      </w:r>
    </w:p>
    <w:p w:rsidR="003E7DD1" w:rsidRPr="00976F4E" w:rsidRDefault="003E7DD1" w:rsidP="0000332E">
      <w:pPr>
        <w:spacing w:after="0" w:line="360" w:lineRule="auto"/>
        <w:ind w:right="-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D1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332E">
        <w:rPr>
          <w:rFonts w:ascii="Times New Roman" w:hAnsi="Times New Roman" w:cs="Times New Roman"/>
          <w:b/>
          <w:bCs/>
          <w:sz w:val="28"/>
          <w:szCs w:val="28"/>
        </w:rPr>
        <w:t>2. Лес круглый</w:t>
      </w:r>
    </w:p>
    <w:p w:rsidR="0000332E" w:rsidRPr="0000332E" w:rsidRDefault="0000332E" w:rsidP="0000332E">
      <w:pPr>
        <w:spacing w:after="0" w:line="360" w:lineRule="auto"/>
        <w:ind w:right="-6"/>
        <w:rPr>
          <w:rFonts w:ascii="Times New Roman" w:hAnsi="Times New Roman" w:cs="Times New Roman"/>
          <w:b/>
          <w:bCs/>
          <w:sz w:val="28"/>
          <w:szCs w:val="28"/>
        </w:rPr>
      </w:pP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ЛЕС КРУГЛЫЙ - (балансы и пиловочник), предъявляется к перевозке навалом и в связках, как правило - свежеспиленный с естественной влажностью.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Гигроскопический груз, может изменять влагосодержание в зависимости от условий и параметров наружного воздуха во время предрейсового хранения.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Может быть поврежден насекомыми (короед и пр.) и микроорганизмами (гниль, плесень и пр.), активность которых возрастает с повышением температуры и относительной влажности окружающего воздуха. </w:t>
      </w:r>
      <w:r w:rsidR="0000332E">
        <w:rPr>
          <w:rFonts w:ascii="Times New Roman" w:hAnsi="Times New Roman" w:cs="Times New Roman"/>
          <w:sz w:val="28"/>
          <w:szCs w:val="28"/>
        </w:rPr>
        <w:t xml:space="preserve"> </w:t>
      </w:r>
      <w:r w:rsidRPr="00976F4E">
        <w:rPr>
          <w:rFonts w:ascii="Times New Roman" w:hAnsi="Times New Roman" w:cs="Times New Roman"/>
          <w:sz w:val="28"/>
          <w:szCs w:val="28"/>
        </w:rPr>
        <w:t xml:space="preserve">Требует карантинного контроля.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Пылеемкий - при загрязнении, особенно пылью угля, цемента и пр. партия может быть полностью забракована. </w:t>
      </w:r>
    </w:p>
    <w:p w:rsidR="0000332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Одним из важнейших физических свойств, с точки зрения их транспортировки на судах, является влажность. Под влажностью древесины понимается содержание воды в процентах, но не к общему весу (как это принято по отношению к другим грузам), а к весу сухой древесины. Содержание влаги в древесине весьма высокое и зависит не только от породы, но и от места произрастания деревьев.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Так</w:t>
      </w:r>
      <w:r w:rsidR="0000332E">
        <w:rPr>
          <w:rFonts w:ascii="Times New Roman" w:hAnsi="Times New Roman" w:cs="Times New Roman"/>
          <w:sz w:val="28"/>
          <w:szCs w:val="28"/>
        </w:rPr>
        <w:t>,</w:t>
      </w:r>
      <w:r w:rsidRPr="00976F4E">
        <w:rPr>
          <w:rFonts w:ascii="Times New Roman" w:hAnsi="Times New Roman" w:cs="Times New Roman"/>
          <w:sz w:val="28"/>
          <w:szCs w:val="28"/>
        </w:rPr>
        <w:t xml:space="preserve"> например, свежеспиленная сосна может содержать 80-97% влаги, ель - 78-105%; если круглый лес продолжительное время находился в воде, влажность его может еще более возрасти. При хранении леса на воздухе вода, находящаяся в древесине, постепенно испаряется, древесина частично высыхает, уменьшается в весе и несколько сокращается в объеме, появляются торцевые трещины. Это свойство древесины называют усушкой. После продолжительного хранения круглого леса на открытом воздухе содержание влаги в нем снижается до 15-25%, а при хранении в сухих закрытых помещениях - до 8-12%.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Учитывая постоянно меняющееся (в больших диапазонах) влагосодержание, что влечет за собой значительное изменение массы груза, круглый лес измеряется, как правило, в объемных единицах: куб. метрах.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Различают: складской (складочный) объем (V скл), плотный объем в коре (V в/к) и плотный объем под корой (без коры), последний обычно и используется для расчетов покупателя с продавцом. В мировой практике существует 2 принципиально разных метода определения объема (плотного) круглого леса под корой (V п/к): с помощью коэффициентов и точкованием.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Определение плотного объема древесины с помощью коэффициентов получило широкое распространение (как в транспортных средствах, так и в штабелях) в мировой практике. Сначала определяется складочный объем древесины (замеряются длина, ширина и высота каждого штабеля, потом перемножаются), который затем умножается на коэффициент полнодревесности (К п/д). Исходное значение К п/д зависит от породы древесины и составляет (по принятой в мировой практике Шведской методике замеров) в %%: для березы - 65, осины - 67, сосны - 69, ели - 71, бука - 64, ольхи - 65. и т.д. При замерах штабелей в наземных транспортных средствах (вагоны, а/машины) указанный К п/д уменьшается на 1-2%.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Исходное значение К п/д затем корректируется в зависимости от следующих факторов (далее в скобках даны предельные значения в %% увеличения или уменьшения исходного К п/д):  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средний диаметр бревен, который определяется путем замеров рулеткой диаметров 10 средних бревен в обмеряемом штабеле, с последующим делением полученного результата на 10 (0 - при среднем диаметре 15 см.; -5 при среднем диаметре 7 см. и +8 при среднем диаметре 24 см. и более.);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качества укладки бревен в штабеле (от -3 до +1);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сучковатости бревен (от -3 до +1);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кривизны бревен (от -3 до +1);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формы бревен - конусности (от -2 до +2),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наличия на бревнах (внутри штабеля) льда и снега (от -12 до 0);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наличия в штабеле укороченных бревен (от -2 до 0);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длины бревен (от -3 при длине 6 м. до +3 при длине 3 м.); </w:t>
      </w:r>
    </w:p>
    <w:p w:rsidR="003E7DD1" w:rsidRPr="00976F4E" w:rsidRDefault="003E7DD1" w:rsidP="0000332E">
      <w:pPr>
        <w:numPr>
          <w:ilvl w:val="0"/>
          <w:numId w:val="4"/>
        </w:numPr>
        <w:tabs>
          <w:tab w:val="clear" w:pos="720"/>
          <w:tab w:val="num" w:pos="90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высоты штабеля (от -1 при высоте менее 1 м. до +1 при высоте более Зм.).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После умножения V скл на откорректированный К п/д получают плотный объем древесины в коре (V в/к), этот показатель важен для перевозчика, поскольку на судно он грузит лес в коре.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Коэффициент, учитывающий кору (Кк), зависит (в основном) от породы древесины и составляет в %%: для березы - 88, осины -89, ели-91, сосны -94 при среднем диаметре бревен 15см. (при меньших диаметрах Кк может быть увеличен на 1-2%, при больших - уменьшен на 1-2%). После умножения V в/к на Кк получают V n/к (объем, фигурирующий в документации для взаиморасчетов покупатель/продавец).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Данный метод не трудоемкий (по сравнению с точкованием), позволяет быстро и с достаточной точностью (опытные эксперты работают с точностью 2-3%) определить плотный объем древесины на транспортном средстве или в штабеле, но требует высокой квалификации и определенных практических навыков сюрвейера (эксперта) для выполнения требуемых замеров и расчетов.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Иногда при больших объемах поставки древесины (особенно балансов) и, если не требуется большая точность, применяется усредненный (взятый ориентировочно) К п/д, который в зависимости от породы древесины и длины бревен составляет (в %%): для березы - 51-53, осины - 53-55, ели - 58-60, сосны - 56-58. Точность замеров в этом случае обычно составляет 5-7%.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Метод определения плотного объема древесины точкованием применяется, как правило, при работе с пиловочником, очень трудоемкий и требует раскатки леса, предъявленного к приемке, но позволяет одновременно (что очень существенно) производить отбраковку бревен, не отвечающих требованиям контракта. Замеряются 2 перпендикулярных топовых диаметра каждого бревна и таким образом определяется средний диаметр. По специальным таблицам рассчитывается плотный объем древесины. Однако в мировой практике до настоящего времени нет единой методики выполнения этих замеров и расчетов и это обстоятельство следует учитывать при работе с пиловочником. </w:t>
      </w:r>
    </w:p>
    <w:p w:rsidR="0000332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Если замеры выполняются рулеткой (в России и некоторых других странах), то удобнее замерять диаметр ствола под корой и, следовательно, сразу рассчитывается (ГОСТ 2708) плотный объем древесины под корой. Кроме того, таблица обмеров упомянутого стандарта учитывает конусность ствола. </w:t>
      </w:r>
    </w:p>
    <w:p w:rsidR="0000332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Если расчет выполняется, исходя из цилиндрической формы ствола (как например это делается в Швеции), то конечный результат будет на 20-21% меньше. </w:t>
      </w:r>
    </w:p>
    <w:p w:rsidR="0000332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Об этой разнице в расчетах не следует забывать при подписании договоров (контрактов) купли/продажи. В ряде стран замеряется топовый диаметр бревен в коре (Финляндия и др.), это удобнее, особенно, если замеры производить штангенциркулем, но не всегда правильно, так как иногда некоторые бревна поступают с частично ободранной корой (обдир коры, как правило, не считается браком). Следовательно, после выполнения требуемых расчетов получается плотный объем древесины в коре и лишь после умножения на Кк&lt;см. выше) получают плотный объем древесины под корой (V п/к).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Стандарт ЕЭС предусматривает замеры не толового, а среднего диаметра (диаметра середины) бревна с последующей корректировкой расчетов по своим таблицам. Вполне понятно, что диаметр середины бревна может замеряться только штангенциркулем и только в коре. </w:t>
      </w:r>
    </w:p>
    <w:p w:rsidR="0000332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Масса погруженной на судно партии круглого леса обычно определяется перевозчиком по осадке (изменению осадки судна за время погрузки). </w:t>
      </w:r>
    </w:p>
    <w:p w:rsidR="0000332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Это довольно приближенный метод, учитывая небольшие размеры судов-лесовозов; вполне понятно, что чем больше размеры судна,</w:t>
      </w:r>
      <w:r w:rsidR="0000332E">
        <w:rPr>
          <w:rFonts w:ascii="Times New Roman" w:hAnsi="Times New Roman" w:cs="Times New Roman"/>
          <w:sz w:val="28"/>
          <w:szCs w:val="28"/>
        </w:rPr>
        <w:t xml:space="preserve"> </w:t>
      </w:r>
      <w:r w:rsidRPr="00976F4E">
        <w:rPr>
          <w:rFonts w:ascii="Times New Roman" w:hAnsi="Times New Roman" w:cs="Times New Roman"/>
          <w:sz w:val="28"/>
          <w:szCs w:val="28"/>
        </w:rPr>
        <w:t xml:space="preserve">чем больше груза взято на борт, тем точнее получается результат при всех прочих равных условиях. </w:t>
      </w:r>
    </w:p>
    <w:p w:rsidR="003E7DD1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Проверить точность замеров по осадке можно, лишь зная, сколько круглого леса погружено на борт в объемных единицах: грузоотправитель (выполняя необходимые замеры леса, поступающего к нему на причал, в наземных транспортных средствах) обычно эту цифру знает довольно точно. Как правило, продавца/покупателя больше интересует плотный объем под корой - V п/к (как основание для финансовых расчетов), перевозчик же заинтересован в получении плотного объема в коре - V в/к, причем обязательно с учетом конусности бревен. Умножив эту величину на удельный вес (см. ниже) можно получить массу погруженного леса.</w:t>
      </w:r>
    </w:p>
    <w:p w:rsidR="0000332E" w:rsidRPr="00976F4E" w:rsidRDefault="0000332E" w:rsidP="0000332E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405" w:type="pct"/>
        <w:tblCellSpacing w:w="7" w:type="dxa"/>
        <w:tblInd w:w="3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605"/>
        <w:gridCol w:w="1592"/>
        <w:gridCol w:w="748"/>
        <w:gridCol w:w="695"/>
        <w:gridCol w:w="1263"/>
        <w:gridCol w:w="2556"/>
      </w:tblGrid>
      <w:tr w:rsidR="0000332E" w:rsidRPr="0000332E" w:rsidTr="0000332E">
        <w:trPr>
          <w:trHeight w:val="161"/>
          <w:tblCellSpacing w:w="7" w:type="dxa"/>
        </w:trPr>
        <w:tc>
          <w:tcPr>
            <w:tcW w:w="943" w:type="pct"/>
            <w:vMerge w:val="restar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Порода древесины</w:t>
            </w:r>
          </w:p>
        </w:tc>
        <w:tc>
          <w:tcPr>
            <w:tcW w:w="4032" w:type="pct"/>
            <w:gridSpan w:val="5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Удельный вес (плотность) древесины в т./куб.м.</w:t>
            </w:r>
          </w:p>
        </w:tc>
      </w:tr>
      <w:tr w:rsidR="0000332E" w:rsidRPr="0000332E" w:rsidTr="0000332E">
        <w:trPr>
          <w:tblCellSpacing w:w="7" w:type="dxa"/>
        </w:trPr>
        <w:tc>
          <w:tcPr>
            <w:tcW w:w="943" w:type="pct"/>
            <w:vMerge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Merge w:val="restar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в свежесрубленном состоянии</w:t>
            </w:r>
          </w:p>
        </w:tc>
        <w:tc>
          <w:tcPr>
            <w:tcW w:w="1585" w:type="pct"/>
            <w:gridSpan w:val="3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при влажности</w:t>
            </w:r>
          </w:p>
        </w:tc>
        <w:tc>
          <w:tcPr>
            <w:tcW w:w="1492" w:type="pct"/>
            <w:vMerge w:val="restar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в абсолютно сухом состоянии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vMerge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9" w:type="pct"/>
            <w:vMerge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25%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15%</w:t>
            </w:r>
          </w:p>
        </w:tc>
        <w:tc>
          <w:tcPr>
            <w:tcW w:w="1492" w:type="pct"/>
            <w:vMerge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Береза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0,60</w:t>
            </w:r>
          </w:p>
        </w:tc>
      </w:tr>
      <w:tr w:rsidR="0000332E" w:rsidRPr="0000332E">
        <w:trPr>
          <w:trHeight w:val="228"/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Бук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Вяз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0,61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Ясень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0,69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Граб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1,06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Ель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0,64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0,42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Дуб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0,99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0,74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Клен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0,87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Липа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Лиственница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0,94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0,93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Ольха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Осина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0,71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Пихта сибирская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0,38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Пихта кавказская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0,62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0,44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0,41</w:t>
            </w:r>
          </w:p>
        </w:tc>
      </w:tr>
      <w:tr w:rsidR="0000332E" w:rsidRPr="0000332E">
        <w:trPr>
          <w:tblCellSpacing w:w="7" w:type="dxa"/>
        </w:trPr>
        <w:tc>
          <w:tcPr>
            <w:tcW w:w="943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Сосна</w:t>
            </w:r>
          </w:p>
        </w:tc>
        <w:tc>
          <w:tcPr>
            <w:tcW w:w="939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0,82</w:t>
            </w:r>
          </w:p>
        </w:tc>
        <w:tc>
          <w:tcPr>
            <w:tcW w:w="437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405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0,54</w:t>
            </w:r>
          </w:p>
        </w:tc>
        <w:tc>
          <w:tcPr>
            <w:tcW w:w="726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0,51</w:t>
            </w:r>
          </w:p>
        </w:tc>
        <w:tc>
          <w:tcPr>
            <w:tcW w:w="1492" w:type="pct"/>
            <w:shd w:val="clear" w:color="auto" w:fill="FFFFFF"/>
            <w:vAlign w:val="center"/>
          </w:tcPr>
          <w:p w:rsidR="003E7DD1" w:rsidRPr="0000332E" w:rsidRDefault="003E7DD1" w:rsidP="0000332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32E">
              <w:rPr>
                <w:rFonts w:ascii="Times New Roman" w:hAnsi="Times New Roman" w:cs="Times New Roman"/>
                <w:sz w:val="20"/>
                <w:szCs w:val="20"/>
              </w:rPr>
              <w:t>0,47</w:t>
            </w:r>
          </w:p>
        </w:tc>
      </w:tr>
    </w:tbl>
    <w:p w:rsidR="0000332E" w:rsidRDefault="0000332E" w:rsidP="0000332E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3E7DD1" w:rsidRPr="00976F4E" w:rsidRDefault="0000332E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3E7DD1" w:rsidRPr="00976F4E">
        <w:rPr>
          <w:rFonts w:ascii="Times New Roman" w:hAnsi="Times New Roman" w:cs="Times New Roman"/>
          <w:sz w:val="28"/>
          <w:szCs w:val="28"/>
        </w:rPr>
        <w:t xml:space="preserve">Примечание: Влажность свежесрубленной древесины колеблется (в зависимости от породы и места произростания) в основном от 65 до 85%, влажность бревен, пролежавших несколько месяцев при хорошей (солнечной) погоде, может составлять 15-25%.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Следует отметить, что и этот метод определения количества погруженного на судно круглого леса не всегда дает точный результат, так как влагосодержание древесины (как уже упоминалось) не является постоянной величиной, а зависит от условий (продолжительности и параметров окружающего воздуха) предрейсового хранения. Определить влагосодержание груза можно с помощью влагомера. </w:t>
      </w:r>
    </w:p>
    <w:p w:rsidR="003E7DD1" w:rsidRPr="00976F4E" w:rsidRDefault="003E7DD1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Круглый лес перевозится как в грузовых помещениях судов, так и на палубе в соответствии с требованиями нормативных документов.</w:t>
      </w:r>
    </w:p>
    <w:p w:rsidR="003E7DD1" w:rsidRPr="00976F4E" w:rsidRDefault="003E7DD1" w:rsidP="0000332E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0332E" w:rsidRDefault="0000332E" w:rsidP="0000332E">
      <w:pPr>
        <w:spacing w:after="0" w:line="360" w:lineRule="auto"/>
        <w:ind w:right="-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Нефтепродукты</w:t>
      </w:r>
    </w:p>
    <w:p w:rsidR="0000332E" w:rsidRDefault="0000332E" w:rsidP="0000332E">
      <w:pPr>
        <w:spacing w:after="0" w:line="36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</w:p>
    <w:p w:rsidR="0000332E" w:rsidRPr="00976F4E" w:rsidRDefault="0000332E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К наливным грузам относятся нефть, нефтепродукты, растительные масла, патока, спирт и винные материалы, химические грузы и сжиженные газы. Рассмотрим пример наливного груза- нефтепродукты темные.</w:t>
      </w:r>
    </w:p>
    <w:p w:rsidR="0000332E" w:rsidRPr="00976F4E" w:rsidRDefault="0000332E" w:rsidP="0000332E">
      <w:pPr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Нефтепродукты - продукты переработки нефти, обладающие рядом общих свойств, которые следует учитывать при перевозке.(ГОСТ 1437-75) Тёмными нефтепродуктами (black products — англ. «тёмные продукты») считаются все виды мазутов, газотурбинные топлива, дистиллятные масла, а также вакуумные газойли, гудроны и битумы. Такие продукты, как правило, содержат тяжёлые остатки первичной и вторичной переработки нефти и непрозрачны. В изготовлении цистерн для перевозки тёмных нефтепродуктов, пищевых жидкостей и сжиженных природных газов, применяется нержавеющая и «чёрная» сталь с высокими прочностными характеристиками. Основные характеристики нефтепродуктов:</w:t>
      </w:r>
    </w:p>
    <w:p w:rsidR="0000332E" w:rsidRPr="00976F4E" w:rsidRDefault="0000332E" w:rsidP="0000332E">
      <w:pPr>
        <w:pStyle w:val="a3"/>
        <w:numPr>
          <w:ilvl w:val="0"/>
          <w:numId w:val="2"/>
        </w:numPr>
        <w:tabs>
          <w:tab w:val="left" w:pos="108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Огнеопасность - способность легко воспламеняться и гореть, что определяется в основном температурами вспышки и воспламенении.. </w:t>
      </w:r>
    </w:p>
    <w:p w:rsidR="0000332E" w:rsidRPr="00976F4E" w:rsidRDefault="0000332E" w:rsidP="0000332E">
      <w:pPr>
        <w:tabs>
          <w:tab w:val="left" w:pos="108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 xml:space="preserve">Нефтепродукты характеризуются также и способностью самовоспламеняться, однако температура самовоспламенения (минимальная температура нагрева нефтепродукта, при которой происходит самовозгорание его паров) измеряется сотнями градусов (от 250 до 500 град.) и практического значения при перевозках это свойство не имеет. </w:t>
      </w:r>
    </w:p>
    <w:p w:rsidR="0000332E" w:rsidRPr="00976F4E" w:rsidRDefault="0000332E" w:rsidP="0000332E">
      <w:pPr>
        <w:pStyle w:val="a3"/>
        <w:tabs>
          <w:tab w:val="left" w:pos="1080"/>
        </w:tabs>
        <w:spacing w:after="0" w:line="360" w:lineRule="auto"/>
        <w:ind w:left="0"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F4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F4E">
        <w:rPr>
          <w:rFonts w:ascii="Times New Roman" w:hAnsi="Times New Roman" w:cs="Times New Roman"/>
          <w:sz w:val="28"/>
          <w:szCs w:val="28"/>
        </w:rPr>
        <w:t xml:space="preserve">Взрывоопасность - взрыв паров нефтепродуктов при образовании взрывоопасной смеси, т. е. при определенном процентном соотношении воздуха и этих паров. При перевозках нефтепродуктов в таре такая опасность иногда бывает реальной, так как требования РД касательно полной герметизации грузовых мест в отдельных случаях бывают нарушенными. </w:t>
      </w:r>
    </w:p>
    <w:p w:rsidR="0000332E" w:rsidRPr="00976F4E" w:rsidRDefault="0000332E" w:rsidP="0000332E">
      <w:pPr>
        <w:tabs>
          <w:tab w:val="left" w:pos="1080"/>
        </w:tabs>
        <w:spacing w:after="0" w:line="36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6F4E">
        <w:rPr>
          <w:rFonts w:ascii="Times New Roman" w:hAnsi="Times New Roman" w:cs="Times New Roman"/>
          <w:sz w:val="28"/>
          <w:szCs w:val="28"/>
        </w:rPr>
        <w:t>Токсичность - способность паров нефтепродуктов оказывать отравляющее действие на организм человека. Почти все нефтепродукты имеют специфический запах, который может испортить грузы, восприимчивые к посторонним запахам. Тара: в основном бочк</w:t>
      </w:r>
      <w:r>
        <w:rPr>
          <w:rFonts w:ascii="Times New Roman" w:hAnsi="Times New Roman" w:cs="Times New Roman"/>
          <w:sz w:val="28"/>
          <w:szCs w:val="28"/>
        </w:rPr>
        <w:t>и (металл), УПО - 1,6-2,2 мЗ/т.</w:t>
      </w:r>
      <w:bookmarkStart w:id="0" w:name="_GoBack"/>
      <w:bookmarkEnd w:id="0"/>
    </w:p>
    <w:sectPr w:rsidR="0000332E" w:rsidRPr="00976F4E" w:rsidSect="0000332E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24D" w:rsidRDefault="001B124D">
      <w:pPr>
        <w:spacing w:after="0" w:line="240" w:lineRule="auto"/>
      </w:pPr>
      <w:r>
        <w:separator/>
      </w:r>
    </w:p>
  </w:endnote>
  <w:endnote w:type="continuationSeparator" w:id="0">
    <w:p w:rsidR="001B124D" w:rsidRDefault="001B1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2E" w:rsidRPr="0000332E" w:rsidRDefault="00221B03" w:rsidP="00CB1A31">
    <w:pPr>
      <w:pStyle w:val="a4"/>
      <w:framePr w:wrap="auto" w:vAnchor="text" w:hAnchor="margin" w:xAlign="right" w:y="1"/>
      <w:rPr>
        <w:rStyle w:val="a6"/>
        <w:rFonts w:ascii="Times New Roman" w:hAnsi="Times New Roman" w:cs="Times New Roman"/>
        <w:sz w:val="24"/>
        <w:szCs w:val="24"/>
      </w:rPr>
    </w:pPr>
    <w:r>
      <w:rPr>
        <w:rStyle w:val="a6"/>
        <w:rFonts w:ascii="Times New Roman" w:hAnsi="Times New Roman" w:cs="Times New Roman"/>
        <w:noProof/>
        <w:sz w:val="24"/>
        <w:szCs w:val="24"/>
      </w:rPr>
      <w:t>2</w:t>
    </w:r>
  </w:p>
  <w:p w:rsidR="0000332E" w:rsidRDefault="0000332E" w:rsidP="0000332E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24D" w:rsidRDefault="001B124D">
      <w:pPr>
        <w:spacing w:after="0" w:line="240" w:lineRule="auto"/>
      </w:pPr>
      <w:r>
        <w:separator/>
      </w:r>
    </w:p>
  </w:footnote>
  <w:footnote w:type="continuationSeparator" w:id="0">
    <w:p w:rsidR="001B124D" w:rsidRDefault="001B12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B2AF1"/>
    <w:multiLevelType w:val="hybridMultilevel"/>
    <w:tmpl w:val="264460BE"/>
    <w:lvl w:ilvl="0" w:tplc="3856CCF4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2" w:hanging="360"/>
      </w:pPr>
    </w:lvl>
    <w:lvl w:ilvl="2" w:tplc="0419001B">
      <w:start w:val="1"/>
      <w:numFmt w:val="lowerRoman"/>
      <w:lvlText w:val="%3."/>
      <w:lvlJc w:val="right"/>
      <w:pPr>
        <w:ind w:left="2702" w:hanging="180"/>
      </w:pPr>
    </w:lvl>
    <w:lvl w:ilvl="3" w:tplc="0419000F">
      <w:start w:val="1"/>
      <w:numFmt w:val="decimal"/>
      <w:lvlText w:val="%4."/>
      <w:lvlJc w:val="left"/>
      <w:pPr>
        <w:ind w:left="3422" w:hanging="360"/>
      </w:pPr>
    </w:lvl>
    <w:lvl w:ilvl="4" w:tplc="04190019">
      <w:start w:val="1"/>
      <w:numFmt w:val="lowerLetter"/>
      <w:lvlText w:val="%5."/>
      <w:lvlJc w:val="left"/>
      <w:pPr>
        <w:ind w:left="4142" w:hanging="360"/>
      </w:pPr>
    </w:lvl>
    <w:lvl w:ilvl="5" w:tplc="0419001B">
      <w:start w:val="1"/>
      <w:numFmt w:val="lowerRoman"/>
      <w:lvlText w:val="%6."/>
      <w:lvlJc w:val="right"/>
      <w:pPr>
        <w:ind w:left="4862" w:hanging="180"/>
      </w:pPr>
    </w:lvl>
    <w:lvl w:ilvl="6" w:tplc="0419000F">
      <w:start w:val="1"/>
      <w:numFmt w:val="decimal"/>
      <w:lvlText w:val="%7."/>
      <w:lvlJc w:val="left"/>
      <w:pPr>
        <w:ind w:left="5582" w:hanging="360"/>
      </w:pPr>
    </w:lvl>
    <w:lvl w:ilvl="7" w:tplc="04190019">
      <w:start w:val="1"/>
      <w:numFmt w:val="lowerLetter"/>
      <w:lvlText w:val="%8."/>
      <w:lvlJc w:val="left"/>
      <w:pPr>
        <w:ind w:left="6302" w:hanging="360"/>
      </w:pPr>
    </w:lvl>
    <w:lvl w:ilvl="8" w:tplc="0419001B">
      <w:start w:val="1"/>
      <w:numFmt w:val="lowerRoman"/>
      <w:lvlText w:val="%9."/>
      <w:lvlJc w:val="right"/>
      <w:pPr>
        <w:ind w:left="7022" w:hanging="180"/>
      </w:pPr>
    </w:lvl>
  </w:abstractNum>
  <w:abstractNum w:abstractNumId="1">
    <w:nsid w:val="46C53E00"/>
    <w:multiLevelType w:val="hybridMultilevel"/>
    <w:tmpl w:val="F6D29D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65076B9"/>
    <w:multiLevelType w:val="hybridMultilevel"/>
    <w:tmpl w:val="F2F091FE"/>
    <w:lvl w:ilvl="0" w:tplc="DFA2EE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E91AEC"/>
    <w:multiLevelType w:val="multilevel"/>
    <w:tmpl w:val="23DC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7E571C9D"/>
    <w:multiLevelType w:val="hybridMultilevel"/>
    <w:tmpl w:val="4DEEF1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CF2"/>
    <w:rsid w:val="0000332E"/>
    <w:rsid w:val="00034CF2"/>
    <w:rsid w:val="00046C05"/>
    <w:rsid w:val="00047A5C"/>
    <w:rsid w:val="00165CC9"/>
    <w:rsid w:val="001B124D"/>
    <w:rsid w:val="00221B03"/>
    <w:rsid w:val="002A67B9"/>
    <w:rsid w:val="003D7269"/>
    <w:rsid w:val="003E7DD1"/>
    <w:rsid w:val="00572C1F"/>
    <w:rsid w:val="008B2C0C"/>
    <w:rsid w:val="008C2FCF"/>
    <w:rsid w:val="0096711D"/>
    <w:rsid w:val="00976F4E"/>
    <w:rsid w:val="00AA5E0A"/>
    <w:rsid w:val="00AB61D8"/>
    <w:rsid w:val="00AE5508"/>
    <w:rsid w:val="00AF6E9F"/>
    <w:rsid w:val="00C24FF3"/>
    <w:rsid w:val="00C5179A"/>
    <w:rsid w:val="00C80303"/>
    <w:rsid w:val="00CB1A31"/>
    <w:rsid w:val="00D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08C2ABA-E377-43B7-93AA-5087EC366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05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034CF2"/>
    <w:pPr>
      <w:keepNext/>
      <w:tabs>
        <w:tab w:val="num" w:pos="576"/>
      </w:tabs>
      <w:suppressAutoHyphens/>
      <w:overflowPunct w:val="0"/>
      <w:autoSpaceDE w:val="0"/>
      <w:spacing w:after="0" w:line="240" w:lineRule="auto"/>
      <w:ind w:left="576" w:hanging="576"/>
      <w:jc w:val="both"/>
      <w:outlineLvl w:val="1"/>
    </w:pPr>
    <w:rPr>
      <w:rFonts w:ascii="Times New Roman" w:eastAsia="Arial Unicode MS" w:hAnsi="Times New Roman" w:cs="Times New Roman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4CF2"/>
    <w:pPr>
      <w:ind w:left="720"/>
    </w:pPr>
  </w:style>
  <w:style w:type="character" w:customStyle="1" w:styleId="20">
    <w:name w:val="Заголовок 2 Знак"/>
    <w:link w:val="2"/>
    <w:uiPriority w:val="99"/>
    <w:rsid w:val="00034CF2"/>
    <w:rPr>
      <w:rFonts w:ascii="Times New Roman" w:eastAsia="Arial Unicode MS" w:hAnsi="Times New Roman" w:cs="Times New Roman"/>
      <w:b/>
      <w:bCs/>
      <w:i/>
      <w:iCs/>
      <w:sz w:val="28"/>
      <w:szCs w:val="28"/>
      <w:lang w:val="x-none" w:eastAsia="ar-SA" w:bidi="ar-SA"/>
    </w:rPr>
  </w:style>
  <w:style w:type="paragraph" w:styleId="a4">
    <w:name w:val="footer"/>
    <w:basedOn w:val="a"/>
    <w:link w:val="a5"/>
    <w:uiPriority w:val="99"/>
    <w:rsid w:val="0000332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cs="Calibri"/>
    </w:rPr>
  </w:style>
  <w:style w:type="character" w:styleId="a6">
    <w:name w:val="page number"/>
    <w:uiPriority w:val="99"/>
    <w:rsid w:val="0000332E"/>
  </w:style>
  <w:style w:type="paragraph" w:styleId="a7">
    <w:name w:val="header"/>
    <w:basedOn w:val="a"/>
    <w:link w:val="a8"/>
    <w:uiPriority w:val="99"/>
    <w:rsid w:val="000033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1861</Words>
  <Characters>10613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транспорта Российской Федерации</vt:lpstr>
    </vt:vector>
  </TitlesOfParts>
  <Company>RUSSIA</Company>
  <LinksUpToDate>false</LinksUpToDate>
  <CharactersWithSpaces>12450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транспорта Российской Федерации</dc:title>
  <dc:subject/>
  <dc:creator>XP GAME 2007</dc:creator>
  <cp:keywords/>
  <dc:description/>
  <cp:lastModifiedBy>admin</cp:lastModifiedBy>
  <cp:revision>2</cp:revision>
  <dcterms:created xsi:type="dcterms:W3CDTF">2014-03-22T10:07:00Z</dcterms:created>
  <dcterms:modified xsi:type="dcterms:W3CDTF">2014-03-22T10:07:00Z</dcterms:modified>
</cp:coreProperties>
</file>