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6C" w:rsidRDefault="00C3026C">
      <w:pPr>
        <w:pStyle w:val="1"/>
        <w:widowControl w:val="0"/>
        <w:rPr>
          <w:i/>
          <w:iCs/>
        </w:rPr>
      </w:pPr>
      <w:r>
        <w:rPr>
          <w:i/>
          <w:iCs/>
        </w:rPr>
        <w:t>На правах рукописи</w:t>
      </w:r>
    </w:p>
    <w:p w:rsidR="00C3026C" w:rsidRDefault="00C3026C">
      <w:pPr>
        <w:pStyle w:val="5"/>
        <w:widowControl w:val="0"/>
        <w:jc w:val="right"/>
      </w:pPr>
      <w:r>
        <w:t>УДК (616.12 – 008.331.1 + 616.379 – 008.64): 615.225.2</w:t>
      </w:r>
    </w:p>
    <w:p w:rsidR="00C3026C" w:rsidRDefault="00C3026C">
      <w:pPr>
        <w:keepNext/>
        <w:widowControl w:val="0"/>
        <w:spacing w:line="480" w:lineRule="auto"/>
        <w:ind w:left="1134" w:right="-851"/>
        <w:jc w:val="right"/>
        <w:rPr>
          <w:sz w:val="28"/>
          <w:szCs w:val="28"/>
        </w:rPr>
      </w:pPr>
    </w:p>
    <w:p w:rsidR="00C3026C" w:rsidRDefault="00C3026C">
      <w:pPr>
        <w:keepNext/>
        <w:widowControl w:val="0"/>
        <w:spacing w:line="480" w:lineRule="auto"/>
        <w:ind w:left="1134" w:right="-851"/>
        <w:jc w:val="center"/>
        <w:rPr>
          <w:b/>
          <w:bCs/>
          <w:sz w:val="28"/>
          <w:szCs w:val="28"/>
        </w:rPr>
      </w:pPr>
    </w:p>
    <w:p w:rsidR="00C3026C" w:rsidRDefault="00C3026C">
      <w:pPr>
        <w:keepNext/>
        <w:widowControl w:val="0"/>
        <w:spacing w:line="480" w:lineRule="auto"/>
        <w:ind w:left="1134" w:right="-851"/>
        <w:jc w:val="center"/>
        <w:rPr>
          <w:b/>
          <w:bCs/>
          <w:sz w:val="28"/>
          <w:szCs w:val="28"/>
        </w:rPr>
      </w:pP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ХРУЛЕНКО СВЕТЛАНА БОРИСОВНА</w:t>
      </w: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b/>
          <w:bCs/>
          <w:sz w:val="28"/>
          <w:szCs w:val="28"/>
        </w:rPr>
      </w:pP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b/>
          <w:bCs/>
          <w:sz w:val="28"/>
          <w:szCs w:val="28"/>
        </w:rPr>
      </w:pPr>
    </w:p>
    <w:p w:rsidR="00C3026C" w:rsidRDefault="00C3026C">
      <w:pPr>
        <w:pStyle w:val="8"/>
        <w:widowControl w:val="0"/>
        <w:spacing w:line="360" w:lineRule="auto"/>
        <w:ind w:firstLine="0"/>
        <w:jc w:val="center"/>
        <w:rPr>
          <w:b/>
          <w:bCs/>
        </w:rPr>
      </w:pPr>
      <w:r>
        <w:rPr>
          <w:b/>
          <w:bCs/>
        </w:rPr>
        <w:t>ОСОБЕННОСТИ ТЕЧЕНИЯ И ЛЕЧЕНИЯ АРТЕРИАЛЬНОЙ</w:t>
      </w:r>
    </w:p>
    <w:p w:rsidR="00C3026C" w:rsidRDefault="00C3026C">
      <w:pPr>
        <w:pStyle w:val="3"/>
        <w:widowControl w:val="0"/>
        <w:spacing w:line="360" w:lineRule="auto"/>
      </w:pPr>
      <w:r>
        <w:t>ГИПЕРТОНИИ С МЕТАБОЛИЧЕСКИМИ НАРУШЕНИЯМИ</w:t>
      </w:r>
    </w:p>
    <w:p w:rsidR="00C3026C" w:rsidRDefault="00C3026C">
      <w:pPr>
        <w:keepNext/>
        <w:widowControl w:val="0"/>
        <w:spacing w:line="360" w:lineRule="auto"/>
        <w:ind w:right="-851"/>
        <w:jc w:val="center"/>
        <w:rPr>
          <w:b/>
          <w:bCs/>
          <w:sz w:val="30"/>
          <w:szCs w:val="30"/>
        </w:rPr>
      </w:pP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b/>
          <w:bCs/>
          <w:sz w:val="32"/>
          <w:szCs w:val="32"/>
        </w:rPr>
      </w:pP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sz w:val="28"/>
          <w:szCs w:val="28"/>
        </w:rPr>
      </w:pPr>
      <w:r>
        <w:rPr>
          <w:sz w:val="28"/>
          <w:szCs w:val="28"/>
        </w:rPr>
        <w:t>14.00.06 - Кардиология</w:t>
      </w: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sz w:val="28"/>
          <w:szCs w:val="28"/>
        </w:rPr>
      </w:pPr>
    </w:p>
    <w:p w:rsidR="00C3026C" w:rsidRDefault="00C3026C">
      <w:pPr>
        <w:pStyle w:val="4"/>
        <w:widowControl w:val="0"/>
        <w:ind w:left="0"/>
        <w:rPr>
          <w:sz w:val="36"/>
          <w:szCs w:val="36"/>
        </w:rPr>
      </w:pPr>
      <w:r>
        <w:rPr>
          <w:sz w:val="36"/>
          <w:szCs w:val="36"/>
        </w:rPr>
        <w:t>Автореферат</w:t>
      </w: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sz w:val="28"/>
          <w:szCs w:val="28"/>
        </w:rPr>
      </w:pPr>
      <w:r>
        <w:rPr>
          <w:sz w:val="28"/>
          <w:szCs w:val="28"/>
        </w:rPr>
        <w:t>диссертации на соискание ученой степени</w:t>
      </w: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sz w:val="28"/>
          <w:szCs w:val="28"/>
        </w:rPr>
      </w:pPr>
      <w:r>
        <w:rPr>
          <w:sz w:val="28"/>
          <w:szCs w:val="28"/>
        </w:rPr>
        <w:t>кандидата медицинских наук</w:t>
      </w: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sz w:val="28"/>
          <w:szCs w:val="28"/>
        </w:rPr>
      </w:pP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sz w:val="28"/>
          <w:szCs w:val="28"/>
        </w:rPr>
      </w:pPr>
    </w:p>
    <w:p w:rsidR="00C3026C" w:rsidRDefault="00C3026C">
      <w:pPr>
        <w:keepNext/>
        <w:widowControl w:val="0"/>
        <w:spacing w:line="480" w:lineRule="auto"/>
        <w:ind w:right="-851"/>
        <w:jc w:val="center"/>
        <w:rPr>
          <w:sz w:val="28"/>
          <w:szCs w:val="28"/>
        </w:rPr>
      </w:pPr>
    </w:p>
    <w:p w:rsidR="00C3026C" w:rsidRDefault="00C3026C">
      <w:pPr>
        <w:pStyle w:val="6"/>
        <w:widowControl w:val="0"/>
      </w:pPr>
      <w:r>
        <w:t>Москва — 2001</w:t>
      </w:r>
    </w:p>
    <w:p w:rsidR="00C3026C" w:rsidRDefault="00C3026C"/>
    <w:p w:rsidR="00C3026C" w:rsidRDefault="00C3026C">
      <w:pPr>
        <w:pStyle w:val="a6"/>
        <w:keepNext/>
        <w:pageBreakBefore w:val="0"/>
        <w:widowControl w:val="0"/>
        <w:ind w:left="425" w:right="51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Работа выполнена в Московском Государственном</w:t>
      </w:r>
    </w:p>
    <w:p w:rsidR="00C3026C" w:rsidRDefault="00C3026C">
      <w:pPr>
        <w:pStyle w:val="a6"/>
        <w:keepNext/>
        <w:pageBreakBefore w:val="0"/>
        <w:widowControl w:val="0"/>
        <w:ind w:left="425" w:right="51"/>
        <w:rPr>
          <w:spacing w:val="40"/>
          <w:sz w:val="26"/>
          <w:szCs w:val="26"/>
        </w:rPr>
      </w:pPr>
      <w:r>
        <w:rPr>
          <w:spacing w:val="40"/>
          <w:sz w:val="26"/>
          <w:szCs w:val="26"/>
        </w:rPr>
        <w:t>медико-стоматологическом университете.</w:t>
      </w: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11"/>
        <w:gridCol w:w="4811"/>
      </w:tblGrid>
      <w:tr w:rsidR="00C3026C" w:rsidRPr="00C3026C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C3026C" w:rsidRPr="00C3026C" w:rsidRDefault="00C3026C">
            <w:pPr>
              <w:keepNext/>
              <w:widowControl w:val="0"/>
              <w:spacing w:line="360" w:lineRule="auto"/>
              <w:jc w:val="center"/>
              <w:rPr>
                <w:spacing w:val="40"/>
                <w:sz w:val="26"/>
                <w:szCs w:val="26"/>
              </w:rPr>
            </w:pPr>
            <w:r w:rsidRPr="00C3026C">
              <w:rPr>
                <w:spacing w:val="40"/>
                <w:sz w:val="26"/>
                <w:szCs w:val="26"/>
              </w:rPr>
              <w:t>Научный руководитель: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C3026C" w:rsidRPr="00C3026C" w:rsidRDefault="00C3026C">
            <w:pPr>
              <w:pStyle w:val="7"/>
              <w:widowControl w:val="0"/>
              <w:rPr>
                <w:sz w:val="26"/>
                <w:szCs w:val="26"/>
              </w:rPr>
            </w:pPr>
            <w:r w:rsidRPr="00C3026C">
              <w:rPr>
                <w:sz w:val="26"/>
                <w:szCs w:val="26"/>
              </w:rPr>
              <w:t>Заслуженный деятель науки РФ</w:t>
            </w:r>
          </w:p>
          <w:p w:rsidR="00C3026C" w:rsidRPr="00C3026C" w:rsidRDefault="00C3026C">
            <w:pPr>
              <w:keepNext/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C3026C">
              <w:rPr>
                <w:sz w:val="26"/>
                <w:szCs w:val="26"/>
              </w:rPr>
              <w:t>Доктор медицинских наук</w:t>
            </w:r>
          </w:p>
          <w:p w:rsidR="00C3026C" w:rsidRPr="00C3026C" w:rsidRDefault="00C3026C">
            <w:pPr>
              <w:keepNext/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C3026C">
              <w:rPr>
                <w:sz w:val="26"/>
                <w:szCs w:val="26"/>
              </w:rPr>
              <w:t xml:space="preserve">профессор </w:t>
            </w:r>
            <w:r w:rsidRPr="00C3026C">
              <w:rPr>
                <w:b/>
                <w:bCs/>
                <w:spacing w:val="40"/>
                <w:sz w:val="26"/>
                <w:szCs w:val="26"/>
              </w:rPr>
              <w:t>В.С. Задионченко</w:t>
            </w:r>
          </w:p>
        </w:tc>
      </w:tr>
    </w:tbl>
    <w:p w:rsidR="00C3026C" w:rsidRDefault="00C3026C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jc w:val="both"/>
        <w:rPr>
          <w:spacing w:val="40"/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40"/>
          <w:sz w:val="26"/>
          <w:szCs w:val="26"/>
        </w:rPr>
        <w:t>Официальные оппоненты:</w:t>
      </w:r>
    </w:p>
    <w:p w:rsidR="00C3026C" w:rsidRDefault="00C3026C">
      <w:pPr>
        <w:keepNext/>
        <w:widowControl w:val="0"/>
        <w:numPr>
          <w:ilvl w:val="0"/>
          <w:numId w:val="2"/>
        </w:numPr>
        <w:tabs>
          <w:tab w:val="clear" w:pos="360"/>
          <w:tab w:val="num" w:pos="1494"/>
        </w:tabs>
        <w:spacing w:line="360" w:lineRule="auto"/>
        <w:ind w:left="1494"/>
        <w:jc w:val="both"/>
        <w:rPr>
          <w:b/>
          <w:bCs/>
          <w:spacing w:val="40"/>
          <w:sz w:val="26"/>
          <w:szCs w:val="26"/>
        </w:rPr>
      </w:pPr>
      <w:r>
        <w:rPr>
          <w:sz w:val="26"/>
          <w:szCs w:val="26"/>
        </w:rPr>
        <w:t>Заслуженный деятель науки РФ,</w:t>
      </w:r>
    </w:p>
    <w:p w:rsidR="00C3026C" w:rsidRDefault="00C3026C">
      <w:pPr>
        <w:keepNext/>
        <w:widowControl w:val="0"/>
        <w:spacing w:line="360" w:lineRule="auto"/>
        <w:jc w:val="both"/>
        <w:rPr>
          <w:b/>
          <w:bCs/>
          <w:spacing w:val="40"/>
          <w:sz w:val="26"/>
          <w:szCs w:val="26"/>
        </w:rPr>
      </w:pPr>
      <w:r>
        <w:rPr>
          <w:sz w:val="26"/>
          <w:szCs w:val="26"/>
        </w:rPr>
        <w:t xml:space="preserve">                        Доктор медицинских наук, профессор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pacing w:val="40"/>
          <w:sz w:val="26"/>
          <w:szCs w:val="26"/>
        </w:rPr>
        <w:t>Б.А. Сидоренко</w:t>
      </w:r>
    </w:p>
    <w:p w:rsidR="00C3026C" w:rsidRDefault="00C3026C">
      <w:pPr>
        <w:keepNext/>
        <w:widowControl w:val="0"/>
        <w:numPr>
          <w:ilvl w:val="0"/>
          <w:numId w:val="2"/>
        </w:numPr>
        <w:tabs>
          <w:tab w:val="clear" w:pos="360"/>
          <w:tab w:val="num" w:pos="1494"/>
        </w:tabs>
        <w:spacing w:line="360" w:lineRule="auto"/>
        <w:ind w:left="1494"/>
        <w:jc w:val="both"/>
        <w:rPr>
          <w:b/>
          <w:bCs/>
          <w:spacing w:val="40"/>
          <w:sz w:val="26"/>
          <w:szCs w:val="26"/>
        </w:rPr>
      </w:pPr>
      <w:r>
        <w:rPr>
          <w:sz w:val="26"/>
          <w:szCs w:val="26"/>
        </w:rPr>
        <w:t>Доктор медицинских наук, профессор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pacing w:val="40"/>
          <w:sz w:val="26"/>
          <w:szCs w:val="26"/>
        </w:rPr>
        <w:t>М.Г. Глезер</w:t>
      </w:r>
    </w:p>
    <w:p w:rsidR="00C3026C" w:rsidRDefault="00C3026C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pacing w:val="40"/>
          <w:sz w:val="26"/>
          <w:szCs w:val="26"/>
        </w:rPr>
        <w:t>Ведущее учреждение:</w:t>
      </w:r>
    </w:p>
    <w:p w:rsidR="00C3026C" w:rsidRDefault="00C3026C">
      <w:pPr>
        <w:keepNext/>
        <w:widowControl w:val="0"/>
        <w:spacing w:line="360" w:lineRule="auto"/>
        <w:ind w:firstLine="567"/>
        <w:jc w:val="both"/>
        <w:rPr>
          <w:spacing w:val="20"/>
          <w:sz w:val="26"/>
          <w:szCs w:val="26"/>
        </w:rPr>
      </w:pPr>
      <w:r>
        <w:rPr>
          <w:spacing w:val="20"/>
          <w:sz w:val="26"/>
          <w:szCs w:val="26"/>
        </w:rPr>
        <w:t>Российский Государственный Медицинский Университет</w:t>
      </w:r>
    </w:p>
    <w:p w:rsidR="00C3026C" w:rsidRDefault="00C3026C">
      <w:pPr>
        <w:keepNext/>
        <w:widowControl w:val="0"/>
        <w:spacing w:line="360" w:lineRule="auto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Защита состоится “ 15 ”   мая   2001г. в “  13  ” часов на заседании диссертационного совета Д.208.041.01 в Московском Государственном медико-стоматологическом университете по адресу: 103433, г. Москва, ул. Долгоруковская, д.4.</w:t>
      </w: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С диссертацией можно ознакомиться в библиотеке Московского Государственного медико-стоматологического университета по адресу: ул. Вучетича, д.10а.</w:t>
      </w: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  <w:r>
        <w:rPr>
          <w:sz w:val="26"/>
          <w:szCs w:val="26"/>
        </w:rPr>
        <w:t>Автореферат разослан “</w:t>
      </w:r>
      <w:r>
        <w:rPr>
          <w:sz w:val="26"/>
          <w:szCs w:val="26"/>
          <w:u w:val="single"/>
        </w:rPr>
        <w:t xml:space="preserve">    28    </w:t>
      </w:r>
      <w:r>
        <w:rPr>
          <w:sz w:val="26"/>
          <w:szCs w:val="26"/>
        </w:rPr>
        <w:t>” марта 2001 г.</w:t>
      </w: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Ученый секретарь </w:t>
      </w:r>
    </w:p>
    <w:p w:rsidR="00C3026C" w:rsidRDefault="00C3026C">
      <w:pPr>
        <w:keepNext/>
        <w:widowControl w:val="0"/>
        <w:spacing w:line="360" w:lineRule="auto"/>
        <w:ind w:left="1134" w:right="-851"/>
        <w:jc w:val="both"/>
        <w:rPr>
          <w:sz w:val="26"/>
          <w:szCs w:val="26"/>
        </w:rPr>
      </w:pPr>
      <w:r>
        <w:rPr>
          <w:sz w:val="26"/>
          <w:szCs w:val="26"/>
        </w:rPr>
        <w:t>диссертационного совета</w:t>
      </w:r>
    </w:p>
    <w:p w:rsidR="00C3026C" w:rsidRDefault="00C3026C">
      <w:pPr>
        <w:keepNext/>
        <w:widowControl w:val="0"/>
        <w:spacing w:line="360" w:lineRule="auto"/>
        <w:ind w:left="1134" w:right="-9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Доктор медицинских наук, </w:t>
      </w:r>
    </w:p>
    <w:p w:rsidR="00C3026C" w:rsidRDefault="00C3026C">
      <w:pPr>
        <w:keepNext/>
        <w:widowControl w:val="0"/>
        <w:spacing w:line="360" w:lineRule="auto"/>
        <w:ind w:left="1134" w:right="-91"/>
        <w:jc w:val="both"/>
        <w:rPr>
          <w:sz w:val="26"/>
          <w:szCs w:val="26"/>
        </w:rPr>
      </w:pPr>
      <w:r>
        <w:rPr>
          <w:sz w:val="26"/>
          <w:szCs w:val="26"/>
        </w:rPr>
        <w:t>профессор                                                                                                  И.В. Маев</w:t>
      </w:r>
    </w:p>
    <w:p w:rsidR="00C3026C" w:rsidRDefault="00C3026C"/>
    <w:p w:rsidR="00C3026C" w:rsidRDefault="00C3026C">
      <w:pPr>
        <w:pStyle w:val="2"/>
        <w:pageBreakBefore w:val="0"/>
        <w:widowControl w:val="0"/>
        <w:ind w:left="0"/>
        <w:rPr>
          <w:sz w:val="24"/>
          <w:szCs w:val="24"/>
        </w:rPr>
      </w:pPr>
      <w:r>
        <w:rPr>
          <w:sz w:val="24"/>
          <w:szCs w:val="24"/>
        </w:rPr>
        <w:t>ОБЩАЯ ХАРАКТЕРИСТИКА РАБОТЫ</w:t>
      </w:r>
    </w:p>
    <w:p w:rsidR="00C3026C" w:rsidRDefault="00C3026C">
      <w:pPr>
        <w:pStyle w:val="a4"/>
        <w:keepNext/>
        <w:widowControl w:val="0"/>
        <w:tabs>
          <w:tab w:val="clear" w:pos="4703"/>
          <w:tab w:val="clear" w:pos="9406"/>
        </w:tabs>
      </w:pPr>
    </w:p>
    <w:p w:rsidR="00C3026C" w:rsidRDefault="00C3026C">
      <w:pPr>
        <w:pStyle w:val="a4"/>
        <w:keepNext/>
        <w:widowControl w:val="0"/>
        <w:tabs>
          <w:tab w:val="clear" w:pos="4703"/>
          <w:tab w:val="clear" w:pos="9406"/>
        </w:tabs>
      </w:pPr>
    </w:p>
    <w:p w:rsidR="00C3026C" w:rsidRDefault="00C3026C">
      <w:pPr>
        <w:keepNext/>
        <w:widowControl w:val="0"/>
        <w:spacing w:line="360" w:lineRule="auto"/>
        <w:ind w:firstLine="709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Актуальность проблемы.</w:t>
      </w:r>
    </w:p>
    <w:p w:rsidR="00C3026C" w:rsidRDefault="00C3026C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Среди сердечно-сосудистых заболеваний, занимающих в экономически развитых странах мира первое место в структуре заболеваемости и смертности населения, наиболее часто встречается гипертоническая болезнь (ГБ).</w:t>
      </w:r>
    </w:p>
    <w:p w:rsidR="00C3026C" w:rsidRDefault="00C3026C">
      <w:pPr>
        <w:keepNext/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данным мета-анализа 9 эпидемиологических исследований, увеличение диастолического АД (ДАД) на 5 – 10 мм рт. ст. приводило к увеличению риска возникновения инсульта на 34 – 56% и увеличению риска развития острой коронарной недостаточности на 29% (</w:t>
      </w:r>
      <w:r>
        <w:rPr>
          <w:sz w:val="24"/>
          <w:szCs w:val="24"/>
          <w:lang w:val="en-US"/>
        </w:rPr>
        <w:t>Kannel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., </w:t>
      </w:r>
      <w:r>
        <w:rPr>
          <w:sz w:val="24"/>
          <w:szCs w:val="24"/>
          <w:lang w:val="en-US"/>
        </w:rPr>
        <w:t>Dawler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., 1985). До сих пор не установлены истинные причины ГБ. В 1988 г. </w:t>
      </w:r>
      <w:r>
        <w:rPr>
          <w:sz w:val="24"/>
          <w:szCs w:val="24"/>
          <w:lang w:val="en-US"/>
        </w:rPr>
        <w:t>G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en-US"/>
        </w:rPr>
        <w:t>Reaven</w:t>
      </w:r>
      <w:r>
        <w:rPr>
          <w:sz w:val="24"/>
          <w:szCs w:val="24"/>
        </w:rPr>
        <w:t xml:space="preserve"> выдвинул предположение о том, что в патогенезе АГ вовлечены инсулинорезистентность (ИР) и гиперинсулинемия. Автор предложил термин «синдром Х» для обозначения кластера метаболически связанных факторов, которые имеют место у одного и того же индивидуума. К ним относятся резистентность тканей к стимулированной инсулином утилизации глюкозы, нарушение толерантности к глюкозе (НТГ) или исулиннезависимый сахарный диабет (ИНСД), гиперинсулинемия, АГ, дислипидемия, абдоминальное ожирение (АО) (Зимин Ю.В., 1996., Моисеев В.С., 1997., Соколов Е.И., 1996). Имеются указания на то, что ИР сопровождается нарушениями в системе гемостаза (Задионченко В.С., 1996., Сорокин Е.В., 1996) и нарушением пуринового обмена (Бугаева Н.В., 1996., Дронов В.Н., 1999). </w:t>
      </w:r>
    </w:p>
    <w:p w:rsidR="00C3026C" w:rsidRDefault="00C3026C">
      <w:pPr>
        <w:keepNext/>
        <w:widowControl w:val="0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Все эти метаболические расстройства сами по себе являются дополнительными факторами риска развития сердечно-сосудистых осложнений. Поэтому одним из основных требований, предъявляемым к современным антигипертензивным препаратам, является не только качественное снижение АД на протяжении суток, но и отсутствие неблагоприятных метаболических влияний. Коррекция этих состояний делает актуальным поиск эффективных и экономически доступных препаратов разнонаправленного действия. В связи с этим большой практический интерес представляет изучение взаимодействия гипотензивной и гиполипидемической терапии.</w:t>
      </w: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Правильный выбор тактики лечения больных АГ с метаболическими нарушениями позволяет сохранить трудоспособность, значительно продлить жизнь пациенту и улучшить ее качество.</w:t>
      </w: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Все это послужило основанием для проведения работы.</w:t>
      </w:r>
    </w:p>
    <w:p w:rsidR="00C3026C" w:rsidRDefault="00C3026C"/>
    <w:p w:rsidR="00C3026C" w:rsidRDefault="00C3026C"/>
    <w:p w:rsidR="00C3026C" w:rsidRDefault="00C3026C">
      <w:pPr>
        <w:pStyle w:val="4"/>
        <w:widowControl w:val="0"/>
        <w:spacing w:line="360" w:lineRule="auto"/>
        <w:ind w:left="0" w:right="51" w:firstLine="709"/>
        <w:jc w:val="both"/>
        <w:rPr>
          <w:spacing w:val="0"/>
          <w:sz w:val="24"/>
          <w:szCs w:val="24"/>
        </w:rPr>
      </w:pPr>
      <w:r>
        <w:rPr>
          <w:b/>
          <w:bCs/>
          <w:sz w:val="24"/>
          <w:szCs w:val="24"/>
        </w:rPr>
        <w:t xml:space="preserve">Цель исследования: </w:t>
      </w:r>
      <w:r>
        <w:rPr>
          <w:spacing w:val="0"/>
          <w:sz w:val="24"/>
          <w:szCs w:val="24"/>
        </w:rPr>
        <w:t>Выявить клинико-функциональные особенности течения АГ с различным сочетанием метаболических факторов риска; изучить гемодинамические и метаболические эффекты антигипертензивных препаратов (эднит, фелодипин, логимакс) различных групп в качестве средств монотерапии и комбинации гипотензивной и гиполипидемической терапии (липобаем) при лечении больных с данной патологией.</w:t>
      </w:r>
    </w:p>
    <w:p w:rsidR="00C3026C" w:rsidRDefault="00C3026C">
      <w:pPr>
        <w:keepNext/>
        <w:widowControl w:val="0"/>
        <w:spacing w:line="360" w:lineRule="auto"/>
        <w:ind w:right="-851" w:firstLine="709"/>
        <w:jc w:val="both"/>
        <w:rPr>
          <w:b/>
          <w:bCs/>
          <w:sz w:val="24"/>
          <w:szCs w:val="24"/>
        </w:rPr>
      </w:pPr>
    </w:p>
    <w:p w:rsidR="00C3026C" w:rsidRDefault="00C3026C">
      <w:pPr>
        <w:keepNext/>
        <w:widowControl w:val="0"/>
        <w:spacing w:line="360" w:lineRule="auto"/>
        <w:ind w:right="-851"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Задачи исследования:</w:t>
      </w:r>
    </w:p>
    <w:p w:rsidR="00C3026C" w:rsidRDefault="00C3026C">
      <w:pPr>
        <w:keepNext/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Изучить особенности суточного профиля АД (СПАД), морфофункциональных показателей сердца, системы гемостаза у больных </w:t>
      </w:r>
      <w:r>
        <w:rPr>
          <w:spacing w:val="-20"/>
          <w:sz w:val="24"/>
          <w:szCs w:val="24"/>
        </w:rPr>
        <w:t>АГ с</w:t>
      </w:r>
      <w:r>
        <w:rPr>
          <w:sz w:val="24"/>
          <w:szCs w:val="24"/>
        </w:rPr>
        <w:t xml:space="preserve"> метаболическими нарушениями.</w:t>
      </w:r>
    </w:p>
    <w:p w:rsidR="00C3026C" w:rsidRDefault="00C3026C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Оценить эффективность и переносимость терапии эднитом, плендилом и логимаксом, а также влияние исследуемых препаратов на метаболические факторы риска у пациентов с этим клиническим вариантом течения АГ.</w:t>
      </w:r>
    </w:p>
    <w:p w:rsidR="00C3026C" w:rsidRDefault="00C3026C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Изучить эффективность и переносимость комбинации гипотензивной и гиполипидемической терапии липобаем у больных АГ в сочетании с атерогенной дислипидемией.</w:t>
      </w:r>
    </w:p>
    <w:p w:rsidR="00C3026C" w:rsidRDefault="00C3026C">
      <w:pPr>
        <w:keepNext/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Изучить психоэмоциональное состояние, особенности личности и качество жизни у больных АГ с различным сочетанием метаболических факторов риска в процессе лечения.</w:t>
      </w:r>
    </w:p>
    <w:p w:rsidR="00C3026C" w:rsidRDefault="00C3026C">
      <w:pPr>
        <w:keepNext/>
        <w:widowControl w:val="0"/>
        <w:numPr>
          <w:ilvl w:val="0"/>
          <w:numId w:val="5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полученных данных выработать практические рекомендации по рациональному применению антигипертензивных (эднит, фелодипин, логимакс) и гиполипидемических (липобай) препаратов у больных АГ с метаболическими нарушениями.</w:t>
      </w:r>
    </w:p>
    <w:p w:rsidR="00C3026C" w:rsidRDefault="00C3026C">
      <w:pPr>
        <w:keepNext/>
        <w:widowControl w:val="0"/>
        <w:spacing w:line="360" w:lineRule="auto"/>
        <w:ind w:firstLine="709"/>
        <w:jc w:val="both"/>
        <w:outlineLvl w:val="0"/>
        <w:rPr>
          <w:b/>
          <w:bCs/>
          <w:sz w:val="24"/>
          <w:szCs w:val="24"/>
        </w:rPr>
      </w:pPr>
    </w:p>
    <w:p w:rsidR="00C3026C" w:rsidRDefault="00C3026C">
      <w:pPr>
        <w:keepNext/>
        <w:widowControl w:val="0"/>
        <w:spacing w:line="360" w:lineRule="auto"/>
        <w:ind w:firstLine="567"/>
        <w:jc w:val="both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Научная новизна: </w:t>
      </w:r>
      <w:r>
        <w:rPr>
          <w:sz w:val="24"/>
          <w:szCs w:val="24"/>
        </w:rPr>
        <w:t>Показана необходимость обследования больных АГ для выявления метаболических расстройств, изменений в системе гемостаза и психоэмоциональных нарушений.</w:t>
      </w:r>
    </w:p>
    <w:p w:rsidR="00C3026C" w:rsidRDefault="00C3026C">
      <w:pPr>
        <w:pStyle w:val="a7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Проведена комплексная оценка эффективности и переносимости эднита, фелодипина и логимакса; их влияние на параметры СПАД, показатели центральной гемодинамики, реологию крови, метаболические факторы риска.</w:t>
      </w:r>
    </w:p>
    <w:p w:rsidR="00C3026C" w:rsidRDefault="00C3026C">
      <w:pPr>
        <w:pStyle w:val="a7"/>
        <w:keepNext/>
        <w:widowControl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Доказано, что исследуемые препараты являются эффективными и безопасными средствами у больных АГ с метаболическими нарушениями при 10-недельной (фелодипин, логимакс) и 12-недельной (эднит) терапии.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Обоснована необходимость комбинации гипотензивной и гиполипидемической терапии у больных АГ с сопутствующей атерогенной дислипидемией и доказана эффективность и безопасность 8-недельной антигипертензивной терапии в сочетании с липобаем.</w:t>
      </w:r>
    </w:p>
    <w:p w:rsidR="00C3026C" w:rsidRDefault="00C3026C">
      <w:pPr>
        <w:pStyle w:val="23"/>
        <w:keepNext/>
        <w:widowControl w:val="0"/>
        <w:spacing w:line="360" w:lineRule="auto"/>
        <w:ind w:left="0" w:right="-1"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Практическая значимость: </w:t>
      </w:r>
    </w:p>
    <w:p w:rsidR="00C3026C" w:rsidRDefault="00C3026C">
      <w:pPr>
        <w:pStyle w:val="23"/>
        <w:keepNext/>
        <w:widowControl w:val="0"/>
        <w:spacing w:line="360" w:lineRule="auto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Полученные данные позволяют на современном этапе оценить клиническую эффективность лечения АГ, расширяют спектр препаратов выбора при лечении АГ с различными метаболическими факторами риска. К практическому применению предлагается комплексная оценка терапии АГ с использованием суточного мониторирования АД (СМАД), эхокардиографии (ЭХО – КГ), лабораторных методов, с учетом психоэмоционального состояния пациента.</w:t>
      </w:r>
    </w:p>
    <w:p w:rsidR="00C3026C" w:rsidRDefault="00C3026C">
      <w:pPr>
        <w:pStyle w:val="23"/>
        <w:keepNext/>
        <w:widowControl w:val="0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Эти методы позволят объективно оценить течение заболевания и дадут возможность оптимизации средств лечения АГ с метаболическими нарушениями.</w:t>
      </w:r>
    </w:p>
    <w:p w:rsidR="00C3026C" w:rsidRDefault="00C3026C">
      <w:pPr>
        <w:keepNext/>
        <w:widowControl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3026C" w:rsidRDefault="00C3026C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Внедрение в практику: </w:t>
      </w:r>
      <w:r>
        <w:rPr>
          <w:sz w:val="24"/>
          <w:szCs w:val="24"/>
        </w:rPr>
        <w:t>Применение суточного мониторирования АД в составе комплексного обследования больных и применение эднита, плендила, логимакса и липобая в лечении больных АГ с метаболическими расстройствами используется в практической деятельности врачей в ГКБ №11, а также в научной и практической работе кафедры внутренних болезней №5 МГМСУ.</w:t>
      </w:r>
    </w:p>
    <w:p w:rsidR="00C3026C" w:rsidRDefault="00C3026C">
      <w:pPr>
        <w:keepNext/>
        <w:widowControl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C3026C" w:rsidRDefault="00C3026C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Апробация работы. </w:t>
      </w:r>
    </w:p>
    <w:p w:rsidR="00C3026C" w:rsidRDefault="00C3026C">
      <w:pPr>
        <w:keepNext/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 исследования доложены на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 Национальных конгрессах “Человек и лекарство” (Москва, 1999 – 2001гг), ХХ итоговой межвузовской научной конференции молодых ученых (Москва, 1998г), международном форуме «Кардиология» (Москва, 1999г),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Всероссийском съезде кардиологов (Москва, 1999г), Международном научном форуме «Достижения клинической фармакологии» в рамках международной медицинской выставки «Здравоохранение 99» (Москва, 1999г), Научно-практической конференции «Актуальные проблемы артериальной гипертонии» (Москва, 1999г), Российской конференции: «Лечение и профилактика артериальной гипертонии» в рамках Второй международной специализированной выставки «Кардиология – 2000» и Российского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 (Москва, 2000г). </w:t>
      </w:r>
    </w:p>
    <w:p w:rsidR="00C3026C" w:rsidRDefault="00C3026C">
      <w:pPr>
        <w:keepNext/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Апробация диссертации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состоялась 26 февраля 2001 года на совместном заседании кафедры внутренних болезней № 1, кафедры внутренних болезней № 5, кафедры клинической фармакологии и терапии лечебного факультета МГМСУ и отдела гранулематозных болезней легких Центрального научно-исследовательского института туберкулеза РАМН, а также врачей ГКБ №11.</w:t>
      </w:r>
    </w:p>
    <w:p w:rsidR="00C3026C" w:rsidRDefault="00C3026C">
      <w:pPr>
        <w:keepNext/>
        <w:widowControl w:val="0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Публикации. </w:t>
      </w:r>
      <w:r>
        <w:rPr>
          <w:sz w:val="24"/>
          <w:szCs w:val="24"/>
        </w:rPr>
        <w:t>По материалам диссертации опубликовано 23 работы.</w:t>
      </w:r>
      <w:r>
        <w:rPr>
          <w:sz w:val="24"/>
          <w:szCs w:val="24"/>
        </w:rPr>
        <w:tab/>
      </w:r>
    </w:p>
    <w:p w:rsidR="00C3026C" w:rsidRDefault="00C3026C">
      <w:pPr>
        <w:keepNext/>
        <w:widowControl w:val="0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C3026C" w:rsidRDefault="00C3026C">
      <w:pPr>
        <w:keepNext/>
        <w:widowControl w:val="0"/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Структура и объём диссертации. </w:t>
      </w:r>
      <w:r>
        <w:rPr>
          <w:sz w:val="24"/>
          <w:szCs w:val="24"/>
        </w:rPr>
        <w:t>Диссертация изложена на 137 страницах машинописного текста, состоит из введения, обзора литературы, главы, посвящённой материалам и методам исследования, полученных результатов и их обсуждения, выводов, практических рекомендаций, иллюстрирована 39 таблицами и 21 рисунком, 2 клиническими примерами. Библиография включает 139 отечественных и 84 зарубежных источника.</w:t>
      </w:r>
    </w:p>
    <w:p w:rsidR="00C3026C" w:rsidRDefault="00C3026C">
      <w:pPr>
        <w:pStyle w:val="2"/>
        <w:pageBreakBefore w:val="0"/>
        <w:widowControl w:val="0"/>
        <w:ind w:left="0"/>
        <w:rPr>
          <w:sz w:val="20"/>
          <w:szCs w:val="20"/>
        </w:rPr>
      </w:pPr>
    </w:p>
    <w:p w:rsidR="00C3026C" w:rsidRDefault="00C3026C">
      <w:pPr>
        <w:pStyle w:val="2"/>
        <w:pageBreakBefore w:val="0"/>
        <w:widowControl w:val="0"/>
        <w:ind w:left="0"/>
        <w:rPr>
          <w:sz w:val="20"/>
          <w:szCs w:val="20"/>
        </w:rPr>
      </w:pPr>
    </w:p>
    <w:p w:rsidR="00C3026C" w:rsidRDefault="00C3026C">
      <w:pPr>
        <w:pStyle w:val="2"/>
        <w:pageBreakBefore w:val="0"/>
        <w:widowControl w:val="0"/>
        <w:ind w:left="0" w:right="51"/>
        <w:rPr>
          <w:sz w:val="24"/>
          <w:szCs w:val="24"/>
        </w:rPr>
      </w:pPr>
      <w:r>
        <w:rPr>
          <w:sz w:val="24"/>
          <w:szCs w:val="24"/>
        </w:rPr>
        <w:t>СОДЕРЖАНИЕ РАБОТЫ</w:t>
      </w:r>
    </w:p>
    <w:p w:rsidR="00C3026C" w:rsidRDefault="00C3026C">
      <w:pPr>
        <w:pStyle w:val="a4"/>
        <w:keepNext/>
        <w:widowControl w:val="0"/>
        <w:tabs>
          <w:tab w:val="clear" w:pos="4703"/>
          <w:tab w:val="clear" w:pos="9406"/>
        </w:tabs>
      </w:pPr>
    </w:p>
    <w:p w:rsidR="00C3026C" w:rsidRDefault="00C3026C">
      <w:pPr>
        <w:keepNext/>
        <w:widowControl w:val="0"/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Материал и методы исследования</w:t>
      </w: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Обследовано 120 больных АГ с различным сочетанием метаболических факторов риска, общая характеристика которых приведена в таблице № 1. Сформированы две группы: в первую группу отобраны больные, получающие гипотензивную терапию (1.1. ингибитором АПФ - эднитом; 1.2. пролонгированным антагонистом кальция дигидропиридинового ряда - фелодипином; 1.3. комбинированным препаратом (кардиоселективный β-блокатор - метопролол/антагонист кальция -фелодипин) - логимаксом). Вторую группу составили больные, получающие сочетание гипотензивной и гиполипидемической терапии липобаем (церивастатином).</w:t>
      </w:r>
    </w:p>
    <w:p w:rsidR="00C3026C" w:rsidRDefault="00C3026C">
      <w:pPr>
        <w:pStyle w:val="a7"/>
        <w:keepNext/>
        <w:widowControl w:val="0"/>
        <w:tabs>
          <w:tab w:val="left" w:pos="851"/>
          <w:tab w:val="left" w:pos="3828"/>
        </w:tabs>
        <w:spacing w:before="240" w:line="240" w:lineRule="auto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№ 1.</w:t>
      </w:r>
    </w:p>
    <w:p w:rsidR="00C3026C" w:rsidRDefault="00C3026C">
      <w:pPr>
        <w:pStyle w:val="a7"/>
        <w:keepNext/>
        <w:widowControl w:val="0"/>
        <w:tabs>
          <w:tab w:val="left" w:pos="851"/>
          <w:tab w:val="left" w:pos="3828"/>
        </w:tabs>
        <w:spacing w:before="240" w:line="240" w:lineRule="atLeast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Клинико-демографическая характеристика больных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1469"/>
        <w:gridCol w:w="62"/>
        <w:gridCol w:w="1500"/>
        <w:gridCol w:w="31"/>
        <w:gridCol w:w="1531"/>
        <w:gridCol w:w="1786"/>
      </w:tblGrid>
      <w:tr w:rsidR="00C3026C" w:rsidRPr="00C3026C">
        <w:trPr>
          <w:cantSplit/>
          <w:jc w:val="center"/>
        </w:trPr>
        <w:tc>
          <w:tcPr>
            <w:tcW w:w="3043" w:type="dxa"/>
            <w:vMerge w:val="restart"/>
            <w:shd w:val="pct10" w:color="000000" w:fill="FFFFFF"/>
          </w:tcPr>
          <w:p w:rsidR="00C3026C" w:rsidRPr="00C3026C" w:rsidRDefault="00564C8B">
            <w:pPr>
              <w:pStyle w:val="3"/>
              <w:widowControl w:val="0"/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>
              <w:rPr>
                <w:noProof/>
              </w:rPr>
              <w:pict>
                <v:line id="_x0000_s1026" style="position:absolute;left:0;text-align:left;z-index:251655680" from="22.95pt,15pt" to="145.35pt,43.8pt" o:allowincell="f"/>
              </w:pict>
            </w:r>
            <w:r w:rsidR="00C3026C" w:rsidRPr="00C3026C">
              <w:rPr>
                <w:b w:val="0"/>
                <w:bCs w:val="0"/>
                <w:sz w:val="24"/>
                <w:szCs w:val="24"/>
              </w:rPr>
              <w:t>Группы больных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4"/>
                <w:szCs w:val="24"/>
              </w:rPr>
            </w:pPr>
          </w:p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Признак</w:t>
            </w:r>
          </w:p>
        </w:tc>
        <w:tc>
          <w:tcPr>
            <w:tcW w:w="4593" w:type="dxa"/>
            <w:gridSpan w:val="5"/>
            <w:shd w:val="pct12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1-я группа</w:t>
            </w:r>
          </w:p>
        </w:tc>
        <w:tc>
          <w:tcPr>
            <w:tcW w:w="1786" w:type="dxa"/>
            <w:vMerge w:val="restart"/>
            <w:tcBorders>
              <w:bottom w:val="nil"/>
            </w:tcBorders>
            <w:shd w:val="pct12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2-я группа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rPr>
                <w:sz w:val="24"/>
                <w:szCs w:val="24"/>
              </w:rPr>
            </w:pPr>
          </w:p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(N = 45)</w:t>
            </w:r>
          </w:p>
        </w:tc>
      </w:tr>
      <w:tr w:rsidR="00C3026C" w:rsidRPr="00C3026C">
        <w:trPr>
          <w:cantSplit/>
          <w:jc w:val="center"/>
        </w:trPr>
        <w:tc>
          <w:tcPr>
            <w:tcW w:w="3043" w:type="dxa"/>
            <w:vMerge/>
            <w:shd w:val="pct10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ind w:firstLine="7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ind w:left="318" w:hanging="318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1.1.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ind w:left="318" w:hanging="318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(N=35)</w:t>
            </w:r>
          </w:p>
        </w:tc>
        <w:tc>
          <w:tcPr>
            <w:tcW w:w="1531" w:type="dxa"/>
            <w:gridSpan w:val="2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1.2.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(N = 25)</w:t>
            </w:r>
          </w:p>
        </w:tc>
        <w:tc>
          <w:tcPr>
            <w:tcW w:w="153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1.3.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ind w:left="317" w:hanging="176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(</w:t>
            </w:r>
            <w:r w:rsidRPr="00C3026C">
              <w:rPr>
                <w:sz w:val="24"/>
                <w:szCs w:val="24"/>
                <w:lang w:val="en-US"/>
              </w:rPr>
              <w:t>N</w:t>
            </w:r>
            <w:r w:rsidRPr="00C3026C">
              <w:rPr>
                <w:sz w:val="24"/>
                <w:szCs w:val="24"/>
              </w:rPr>
              <w:t xml:space="preserve"> = 15)</w:t>
            </w:r>
          </w:p>
        </w:tc>
        <w:tc>
          <w:tcPr>
            <w:tcW w:w="1786" w:type="dxa"/>
            <w:vMerge/>
            <w:tcBorders>
              <w:top w:val="nil"/>
            </w:tcBorders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both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Возраст, годы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58,5 ± 1,5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56,6 ±2,1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56,7 ± 2,7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52,2 ± 4,9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pStyle w:val="1"/>
              <w:widowControl w:val="0"/>
              <w:tabs>
                <w:tab w:val="left" w:pos="1418"/>
                <w:tab w:val="left" w:pos="2268"/>
                <w:tab w:val="left" w:pos="14430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САДср, мм рт. ст.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146,4 ± 1,6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146,3 ± 2,4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142,5 ± 1,5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143,1 ± 1,8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pStyle w:val="2"/>
              <w:pageBreakBefore w:val="0"/>
              <w:widowControl w:val="0"/>
              <w:tabs>
                <w:tab w:val="left" w:pos="1418"/>
                <w:tab w:val="left" w:pos="2268"/>
                <w:tab w:val="left" w:pos="14430"/>
              </w:tabs>
              <w:spacing w:line="240" w:lineRule="auto"/>
              <w:ind w:left="-108"/>
              <w:jc w:val="left"/>
              <w:rPr>
                <w:b w:val="0"/>
                <w:bCs w:val="0"/>
                <w:sz w:val="24"/>
                <w:szCs w:val="24"/>
              </w:rPr>
            </w:pPr>
            <w:r w:rsidRPr="00C3026C">
              <w:rPr>
                <w:b w:val="0"/>
                <w:bCs w:val="0"/>
                <w:sz w:val="24"/>
                <w:szCs w:val="24"/>
              </w:rPr>
              <w:t xml:space="preserve"> ДАДср, мм рт. ст.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88,6 ± 1,5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88,1 ± 1,9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86,8 ± 1,3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87,7 ± 1,8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pStyle w:val="9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ЧСС, уд/мин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69,3 ± 1,5</w:t>
            </w:r>
          </w:p>
        </w:tc>
        <w:tc>
          <w:tcPr>
            <w:tcW w:w="1531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69,7 ± 1,3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71,2 ± 2,7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  <w:tab w:val="left" w:pos="2268"/>
                <w:tab w:val="left" w:pos="14430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70,2 ± 1,6</w:t>
            </w:r>
          </w:p>
        </w:tc>
      </w:tr>
      <w:tr w:rsidR="00C3026C" w:rsidRPr="00C3026C">
        <w:trPr>
          <w:cantSplit/>
          <w:jc w:val="center"/>
        </w:trPr>
        <w:tc>
          <w:tcPr>
            <w:tcW w:w="9422" w:type="dxa"/>
            <w:gridSpan w:val="7"/>
            <w:shd w:val="pct5" w:color="000000" w:fill="FFFFFF"/>
          </w:tcPr>
          <w:p w:rsidR="00C3026C" w:rsidRPr="00C3026C" w:rsidRDefault="00C3026C">
            <w:pPr>
              <w:pStyle w:val="3"/>
              <w:widowControl w:val="0"/>
              <w:tabs>
                <w:tab w:val="left" w:pos="1418"/>
                <w:tab w:val="left" w:pos="2268"/>
                <w:tab w:val="left" w:pos="14430"/>
              </w:tabs>
              <w:spacing w:line="240" w:lineRule="auto"/>
              <w:rPr>
                <w:b w:val="0"/>
                <w:bCs w:val="0"/>
                <w:sz w:val="24"/>
                <w:szCs w:val="24"/>
              </w:rPr>
            </w:pPr>
            <w:r w:rsidRPr="00C3026C">
              <w:rPr>
                <w:b w:val="0"/>
                <w:bCs w:val="0"/>
                <w:sz w:val="24"/>
                <w:szCs w:val="24"/>
              </w:rPr>
              <w:t>Факторы риска (в %), сопутствующие АГ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pStyle w:val="3"/>
              <w:widowControl w:val="0"/>
              <w:tabs>
                <w:tab w:val="left" w:pos="426"/>
              </w:tabs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C3026C">
              <w:rPr>
                <w:b w:val="0"/>
                <w:bCs w:val="0"/>
                <w:sz w:val="24"/>
                <w:szCs w:val="24"/>
              </w:rPr>
              <w:t>Дислипидемия</w:t>
            </w:r>
          </w:p>
        </w:tc>
        <w:tc>
          <w:tcPr>
            <w:tcW w:w="1469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80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88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87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100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Ожирение</w:t>
            </w:r>
          </w:p>
        </w:tc>
        <w:tc>
          <w:tcPr>
            <w:tcW w:w="1469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74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84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66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47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Гиперфибриногенемия</w:t>
            </w:r>
          </w:p>
        </w:tc>
        <w:tc>
          <w:tcPr>
            <w:tcW w:w="1469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60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64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66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60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Гиперурекимия</w:t>
            </w:r>
          </w:p>
        </w:tc>
        <w:tc>
          <w:tcPr>
            <w:tcW w:w="1469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23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64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13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42</w:t>
            </w:r>
          </w:p>
        </w:tc>
      </w:tr>
      <w:tr w:rsidR="00C3026C" w:rsidRPr="00C3026C">
        <w:trPr>
          <w:jc w:val="center"/>
        </w:trPr>
        <w:tc>
          <w:tcPr>
            <w:tcW w:w="3043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ИНСД или НТГ</w:t>
            </w:r>
          </w:p>
        </w:tc>
        <w:tc>
          <w:tcPr>
            <w:tcW w:w="1469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49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44</w:t>
            </w:r>
          </w:p>
        </w:tc>
        <w:tc>
          <w:tcPr>
            <w:tcW w:w="1562" w:type="dxa"/>
            <w:gridSpan w:val="2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13</w:t>
            </w:r>
          </w:p>
        </w:tc>
        <w:tc>
          <w:tcPr>
            <w:tcW w:w="1786" w:type="dxa"/>
          </w:tcPr>
          <w:p w:rsidR="00C3026C" w:rsidRPr="00C3026C" w:rsidRDefault="00C3026C">
            <w:pPr>
              <w:keepNext/>
              <w:widowControl w:val="0"/>
              <w:tabs>
                <w:tab w:val="left" w:pos="1418"/>
              </w:tabs>
              <w:ind w:firstLine="34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9</w:t>
            </w:r>
          </w:p>
        </w:tc>
      </w:tr>
    </w:tbl>
    <w:p w:rsidR="00C3026C" w:rsidRDefault="00C3026C">
      <w:pPr>
        <w:pStyle w:val="a7"/>
        <w:keepNext/>
        <w:widowControl w:val="0"/>
        <w:tabs>
          <w:tab w:val="left" w:pos="0"/>
          <w:tab w:val="left" w:pos="3271"/>
          <w:tab w:val="left" w:pos="9072"/>
        </w:tabs>
        <w:spacing w:line="360" w:lineRule="auto"/>
        <w:ind w:firstLine="709"/>
        <w:rPr>
          <w:sz w:val="24"/>
          <w:szCs w:val="24"/>
        </w:rPr>
      </w:pPr>
    </w:p>
    <w:p w:rsidR="00C3026C" w:rsidRDefault="00C3026C">
      <w:pPr>
        <w:pStyle w:val="a7"/>
        <w:keepNext/>
        <w:widowControl w:val="0"/>
        <w:tabs>
          <w:tab w:val="left" w:pos="0"/>
          <w:tab w:val="left" w:pos="3271"/>
          <w:tab w:val="left" w:pos="9072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Суточное мониторирование АД проводилось с использованием портативных мониторов системы АВРМ-02 (Венгрия). Эхолокация сердца осуществлялась на универсальном эхокардиографе с допплеровской приставкой </w:t>
      </w:r>
      <w:r>
        <w:rPr>
          <w:sz w:val="24"/>
          <w:szCs w:val="24"/>
          <w:lang w:val="en-US"/>
        </w:rPr>
        <w:t>Sigma</w:t>
      </w:r>
      <w:r>
        <w:rPr>
          <w:sz w:val="24"/>
          <w:szCs w:val="24"/>
        </w:rPr>
        <w:t xml:space="preserve"> 44 </w:t>
      </w:r>
      <w:r>
        <w:rPr>
          <w:sz w:val="24"/>
          <w:szCs w:val="24"/>
          <w:lang w:val="en-US"/>
        </w:rPr>
        <w:t>HVD</w:t>
      </w:r>
      <w:r>
        <w:rPr>
          <w:sz w:val="24"/>
          <w:szCs w:val="24"/>
        </w:rPr>
        <w:t xml:space="preserve"> фирмы “К</w:t>
      </w:r>
      <w:r>
        <w:rPr>
          <w:sz w:val="24"/>
          <w:szCs w:val="24"/>
          <w:lang w:val="en-US"/>
        </w:rPr>
        <w:t>ontron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Instruments</w:t>
      </w:r>
      <w:r>
        <w:rPr>
          <w:sz w:val="24"/>
          <w:szCs w:val="24"/>
        </w:rPr>
        <w:t xml:space="preserve">” (Франция). Агрегация тромбоцитов изучалась на анализаторе агрегации 230 LA НПФ БИОЛА традиционным турбодиметрическим методом. Для определения реологических свойств крови и плазмы использовался ротационный вискозиметр АКР - 2. Пероральный глюкозотолерантный тест проводился следующим образом: глюкоза крови определялась натощак, затем через 1 и 2 часа после 75г нагрузки глюкозой. Психоэмоциональное состояние оценивалось по следующим опросникам: «Качество жизни у больных гипертонической болезнью» (стандартизированная анкета, созданная на основе </w:t>
      </w:r>
      <w:r>
        <w:rPr>
          <w:sz w:val="24"/>
          <w:szCs w:val="24"/>
          <w:lang w:val="en-US"/>
        </w:rPr>
        <w:t>The Goeteborg Quality of life Instrument (GQI))</w:t>
      </w:r>
      <w:r>
        <w:rPr>
          <w:sz w:val="24"/>
          <w:szCs w:val="24"/>
        </w:rPr>
        <w:t>, личностная шкала тревоги, шкала депрессии, модифицированный цветовой тест Люшера, САН (самочувствие, активность, настроение)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методика СМИЛ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(модифицированный вариант теста </w:t>
      </w:r>
      <w:r>
        <w:rPr>
          <w:sz w:val="24"/>
          <w:szCs w:val="24"/>
          <w:lang w:val="en-US"/>
        </w:rPr>
        <w:t>MMPI</w:t>
      </w:r>
      <w:r>
        <w:rPr>
          <w:sz w:val="24"/>
          <w:szCs w:val="24"/>
        </w:rPr>
        <w:t>), методика УСК (уровень субъективного контроля).</w:t>
      </w:r>
    </w:p>
    <w:p w:rsidR="00C3026C" w:rsidRDefault="00C3026C">
      <w:pPr>
        <w:pStyle w:val="a7"/>
        <w:keepNext/>
        <w:widowControl w:val="0"/>
        <w:tabs>
          <w:tab w:val="num" w:pos="426"/>
        </w:tabs>
        <w:spacing w:line="36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Лечение больных АГ с метаболическими факторами риска проводилось курсом 8 – 12 недель. Суточные дозы препаратов составили в среднем: эднит – 22,5 ± 11,2 мг, плендил – 8,8 ± 2,1 мг, логимакс - 7,0/70,0 ± 2,4/24,5 мг, липобай – 0,38 ± 0,06 мг.</w:t>
      </w:r>
    </w:p>
    <w:p w:rsidR="00C3026C" w:rsidRDefault="00C3026C">
      <w:pPr>
        <w:pStyle w:val="21"/>
        <w:keepNext/>
        <w:widowControl w:val="0"/>
        <w:tabs>
          <w:tab w:val="left" w:pos="1418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Для оценки гипотензивного эффекта были приняты три градации: полный, частичный и недостаточный эффект. Гиполипидемическая эффективность оценивалась по четырем градациям: отличный, хороший, удовлетворительный и неудовлетворительный результат.</w:t>
      </w:r>
    </w:p>
    <w:p w:rsidR="00C3026C" w:rsidRDefault="00C3026C">
      <w:pPr>
        <w:keepNext/>
        <w:widowControl w:val="0"/>
        <w:numPr>
          <w:ilvl w:val="12"/>
          <w:numId w:val="0"/>
        </w:numPr>
        <w:spacing w:line="360" w:lineRule="auto"/>
        <w:ind w:left="28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Статистическую обработку результатов проводили методом вариационной и корреляционной статистики с использованием компьютерной программы </w:t>
      </w:r>
      <w:r>
        <w:rPr>
          <w:sz w:val="24"/>
          <w:szCs w:val="24"/>
          <w:lang w:val="en-US"/>
        </w:rPr>
        <w:t>Ex</w:t>
      </w:r>
      <w:r>
        <w:rPr>
          <w:sz w:val="24"/>
          <w:szCs w:val="24"/>
        </w:rPr>
        <w:t>с</w:t>
      </w:r>
      <w:r>
        <w:rPr>
          <w:sz w:val="24"/>
          <w:szCs w:val="24"/>
          <w:lang w:val="en-US"/>
        </w:rPr>
        <w:t>el</w:t>
      </w:r>
      <w:r>
        <w:rPr>
          <w:sz w:val="24"/>
          <w:szCs w:val="24"/>
        </w:rPr>
        <w:t xml:space="preserve"> 7.0.</w:t>
      </w:r>
    </w:p>
    <w:p w:rsidR="00C3026C" w:rsidRDefault="00C3026C">
      <w:pPr>
        <w:keepNext/>
        <w:widowControl w:val="0"/>
        <w:numPr>
          <w:ilvl w:val="12"/>
          <w:numId w:val="0"/>
        </w:numPr>
        <w:spacing w:line="360" w:lineRule="auto"/>
        <w:ind w:left="283" w:firstLine="720"/>
        <w:jc w:val="both"/>
      </w:pPr>
    </w:p>
    <w:p w:rsidR="00C3026C" w:rsidRDefault="00C3026C">
      <w:pPr>
        <w:keepNext/>
        <w:widowControl w:val="0"/>
        <w:numPr>
          <w:ilvl w:val="12"/>
          <w:numId w:val="0"/>
        </w:numPr>
        <w:spacing w:line="360" w:lineRule="auto"/>
        <w:ind w:left="283" w:firstLine="720"/>
        <w:jc w:val="both"/>
      </w:pPr>
    </w:p>
    <w:p w:rsidR="00C3026C" w:rsidRDefault="00C3026C">
      <w:pPr>
        <w:pStyle w:val="3"/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РЕЗУЛЬТАТЫ И ИХ ОБСУЖДЕНИЕ</w:t>
      </w:r>
    </w:p>
    <w:p w:rsidR="00C3026C" w:rsidRDefault="00C3026C">
      <w:pPr>
        <w:pStyle w:val="a4"/>
        <w:tabs>
          <w:tab w:val="clear" w:pos="4703"/>
          <w:tab w:val="clear" w:pos="9406"/>
        </w:tabs>
      </w:pPr>
    </w:p>
    <w:p w:rsidR="00C3026C" w:rsidRDefault="00C3026C">
      <w:pPr>
        <w:pStyle w:val="23"/>
        <w:keepNext/>
        <w:widowControl w:val="0"/>
        <w:tabs>
          <w:tab w:val="left" w:pos="2127"/>
        </w:tabs>
        <w:spacing w:line="360" w:lineRule="auto"/>
        <w:ind w:left="0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Клинико-функциональные особенности</w:t>
      </w:r>
    </w:p>
    <w:p w:rsidR="00C3026C" w:rsidRDefault="00C3026C">
      <w:pPr>
        <w:pStyle w:val="23"/>
        <w:keepNext/>
        <w:widowControl w:val="0"/>
        <w:tabs>
          <w:tab w:val="left" w:pos="2127"/>
        </w:tabs>
        <w:spacing w:line="360" w:lineRule="auto"/>
        <w:ind w:left="0" w:firstLine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артериальной гипертонии с метаболическими нарушениями</w:t>
      </w:r>
    </w:p>
    <w:p w:rsidR="00C3026C" w:rsidRDefault="00C3026C">
      <w:pPr>
        <w:pStyle w:val="23"/>
        <w:keepNext/>
        <w:widowControl w:val="0"/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75 обследованных больных были распределены на группы в соответствии с наличием у них метаболических факторов риска: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группа – больные с изолированной АГ, 7 человек (9,3%);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 – больные с сочетанием АГ и абдоминального ожирения (АО), 7 человек (9,3%);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группа – больные с комбинацией АГ и дислипидемии, 14 человек (18,7%);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группа – больные с сочетанием АГ, АО и дислипидемии, 24 человека (32%);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группа – больные с метаболическим синдромом, т. е. с комбинацией АГ, АО, дислипидемии и нарушением толерантности к глюкозе (НТГ) (или инсулиннезависимым сахарным диабетом ИНСД), 23 человека (30,7%);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 анализе СМАД в группе больных АГ с метаболическими нарушениями по сравнению с контрольной группой, которую составили больные без нарушений обмена липидов и углеводов выявлены достоверные различия в виде более высоких значений АД, и показателей «нагрузки повышенным давлением» (рис. №№ 1 - 2), повышение вариабельности АД, а также более частые, чем среди больных ГБ, нарушения суточного ритма АД (табл. №2).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142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№ 2.</w:t>
      </w:r>
    </w:p>
    <w:p w:rsidR="00C3026C" w:rsidRDefault="00C3026C">
      <w:pPr>
        <w:pStyle w:val="a9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Суточные кривые АД у больных с различным сочетанием </w:t>
      </w:r>
    </w:p>
    <w:p w:rsidR="00C3026C" w:rsidRDefault="00C3026C">
      <w:pPr>
        <w:pStyle w:val="a9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метаболических факторов риска (в %)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248"/>
        <w:gridCol w:w="1347"/>
        <w:gridCol w:w="198"/>
        <w:gridCol w:w="1397"/>
        <w:gridCol w:w="148"/>
        <w:gridCol w:w="1447"/>
        <w:gridCol w:w="99"/>
        <w:gridCol w:w="1496"/>
        <w:gridCol w:w="49"/>
        <w:gridCol w:w="1546"/>
      </w:tblGrid>
      <w:tr w:rsidR="00C3026C" w:rsidRPr="00C3026C">
        <w:trPr>
          <w:cantSplit/>
          <w:trHeight w:val="336"/>
        </w:trPr>
        <w:tc>
          <w:tcPr>
            <w:tcW w:w="1595" w:type="dxa"/>
            <w:vMerge w:val="restart"/>
            <w:shd w:val="pct5" w:color="000000" w:fill="FFFFFF"/>
          </w:tcPr>
          <w:p w:rsidR="00C3026C" w:rsidRPr="00C3026C" w:rsidRDefault="00C3026C">
            <w:pPr>
              <w:pStyle w:val="5"/>
              <w:widowControl w:val="0"/>
              <w:spacing w:line="240" w:lineRule="auto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Показатель</w:t>
            </w:r>
          </w:p>
        </w:tc>
        <w:tc>
          <w:tcPr>
            <w:tcW w:w="7975" w:type="dxa"/>
            <w:gridSpan w:val="10"/>
            <w:shd w:val="pct10" w:color="000000" w:fill="FFFFFF"/>
          </w:tcPr>
          <w:p w:rsidR="00C3026C" w:rsidRPr="00C3026C" w:rsidRDefault="00C3026C">
            <w:pPr>
              <w:pStyle w:val="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Группы больных</w:t>
            </w:r>
          </w:p>
        </w:tc>
      </w:tr>
      <w:tr w:rsidR="00C3026C" w:rsidRPr="00C3026C">
        <w:trPr>
          <w:cantSplit/>
          <w:trHeight w:val="425"/>
        </w:trPr>
        <w:tc>
          <w:tcPr>
            <w:tcW w:w="1595" w:type="dxa"/>
            <w:vMerge/>
            <w:shd w:val="pct5" w:color="000000" w:fill="FFFFFF"/>
          </w:tcPr>
          <w:p w:rsidR="00C3026C" w:rsidRPr="00C3026C" w:rsidRDefault="00C3026C">
            <w:pPr>
              <w:keepNext/>
              <w:widowControl w:val="0"/>
              <w:ind w:left="-284"/>
              <w:rPr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95" w:type="dxa"/>
            <w:gridSpan w:val="2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95" w:type="dxa"/>
            <w:gridSpan w:val="2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95" w:type="dxa"/>
            <w:gridSpan w:val="2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95" w:type="dxa"/>
            <w:gridSpan w:val="2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  <w:lang w:val="en-US"/>
              </w:rPr>
              <w:t>V</w:t>
            </w:r>
          </w:p>
        </w:tc>
      </w:tr>
      <w:tr w:rsidR="00C3026C" w:rsidRPr="00C3026C">
        <w:trPr>
          <w:cantSplit/>
        </w:trPr>
        <w:tc>
          <w:tcPr>
            <w:tcW w:w="9570" w:type="dxa"/>
            <w:gridSpan w:val="11"/>
            <w:shd w:val="pct12" w:color="000000" w:fill="FFFFFF"/>
          </w:tcPr>
          <w:p w:rsidR="00C3026C" w:rsidRPr="00C3026C" w:rsidRDefault="00C3026C">
            <w:pPr>
              <w:pStyle w:val="5"/>
              <w:widowControl w:val="0"/>
              <w:spacing w:line="240" w:lineRule="auto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Типы суточных кривых по САД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Dippers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26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Non-dippers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22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Over-dippers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0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 xml:space="preserve">Night-peakers 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43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50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28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52</w:t>
            </w:r>
          </w:p>
        </w:tc>
      </w:tr>
      <w:tr w:rsidR="00C3026C" w:rsidRPr="00C3026C">
        <w:trPr>
          <w:cantSplit/>
        </w:trPr>
        <w:tc>
          <w:tcPr>
            <w:tcW w:w="9570" w:type="dxa"/>
            <w:gridSpan w:val="11"/>
            <w:shd w:val="pct12" w:color="000000" w:fill="FFFFFF"/>
          </w:tcPr>
          <w:p w:rsidR="00C3026C" w:rsidRPr="00C3026C" w:rsidRDefault="00C3026C">
            <w:pPr>
              <w:pStyle w:val="5"/>
              <w:widowControl w:val="0"/>
              <w:spacing w:line="240" w:lineRule="auto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Типы суточных кривых по ДАД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Dippers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4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Non-dippers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26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Over-dippers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22</w:t>
            </w:r>
          </w:p>
        </w:tc>
      </w:tr>
      <w:tr w:rsidR="00C3026C" w:rsidRPr="00C3026C">
        <w:tc>
          <w:tcPr>
            <w:tcW w:w="1843" w:type="dxa"/>
            <w:gridSpan w:val="2"/>
            <w:shd w:val="pct5" w:color="000000" w:fill="FFFFFF"/>
          </w:tcPr>
          <w:p w:rsidR="00C3026C" w:rsidRPr="00C3026C" w:rsidRDefault="00C3026C">
            <w:pPr>
              <w:pStyle w:val="23"/>
              <w:keepNext/>
              <w:widowControl w:val="0"/>
              <w:spacing w:line="240" w:lineRule="auto"/>
              <w:ind w:left="0" w:firstLine="0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Night-peakers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0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14</w:t>
            </w:r>
          </w:p>
        </w:tc>
        <w:tc>
          <w:tcPr>
            <w:tcW w:w="1546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14</w:t>
            </w:r>
          </w:p>
        </w:tc>
        <w:tc>
          <w:tcPr>
            <w:tcW w:w="1545" w:type="dxa"/>
            <w:gridSpan w:val="2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C3026C" w:rsidRPr="00C3026C" w:rsidRDefault="00C3026C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48</w:t>
            </w:r>
          </w:p>
        </w:tc>
      </w:tr>
    </w:tbl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"/>
          <w:szCs w:val="2"/>
        </w:rPr>
      </w:pP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группе больных изолированной АГ преобладали лица (43% случаев) с достаточным снижением АД во время сна – 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 xml:space="preserve">. У 14% пациентов наблюдалась повышенная степень ночного снижения ДАД. Лица со снижением САД и ДАД в ночное время менее чем на 10% имелись в 57% и 43% соответственно. Суточных профилей с повышением АД в период сна не зарегистрировано. </w:t>
      </w: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 группах больных АГ с метаболическими нарушениями преобладали лица с устойчивым повышением ночного САД и ДАД в 28 – 52% и 13 – 48% соответственно. Больные с оптимальной степенью ночного снижения САД и ДАД встречались в 13 – 26% и 4 – 33% соответственно. </w:t>
      </w: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Таким образом, проведенное нами исследование выявило неблагоприятное влияние метаболических отклонений на показатели суточного профиля АД, что дает основания для выделения больных АГ с метаболическими расстройствами в группу высокого риска развития сердечно-сосудистых осложнений.</w:t>
      </w:r>
    </w:p>
    <w:p w:rsidR="00C3026C" w:rsidRDefault="00C3026C">
      <w:pPr>
        <w:keepNext/>
        <w:widowControl w:val="0"/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1.</w:t>
      </w:r>
    </w:p>
    <w:p w:rsidR="00C3026C" w:rsidRDefault="00C3026C">
      <w:pPr>
        <w:pStyle w:val="a9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Среднесуточное АД и ЧСС у больных АГ с различным сочетанием </w:t>
      </w:r>
    </w:p>
    <w:p w:rsidR="00C3026C" w:rsidRDefault="00564C8B">
      <w:pPr>
        <w:pStyle w:val="a9"/>
        <w:keepNext/>
        <w:widowControl w:val="0"/>
        <w:tabs>
          <w:tab w:val="clear" w:pos="4153"/>
          <w:tab w:val="clear" w:pos="83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noProof/>
        </w:rPr>
        <w:pict>
          <v:line id="_x0000_s1027" style="position:absolute;left:0;text-align:left;z-index:251656704" from="36.6pt,20.25pt" to="497.4pt,20.25pt" o:allowincell="f"/>
        </w:pict>
      </w:r>
      <w:r w:rsidR="00C3026C">
        <w:rPr>
          <w:b/>
          <w:bCs/>
          <w:sz w:val="24"/>
          <w:szCs w:val="24"/>
        </w:rPr>
        <w:t>метаболических факторов риска</w:t>
      </w:r>
    </w:p>
    <w:p w:rsidR="00C3026C" w:rsidRDefault="00564C8B">
      <w:pPr>
        <w:pStyle w:val="21"/>
        <w:keepNext/>
        <w:widowControl w:val="0"/>
        <w:tabs>
          <w:tab w:val="left" w:pos="284"/>
        </w:tabs>
        <w:spacing w:line="360" w:lineRule="auto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245.25pt" o:bordertopcolor="this" o:borderleftcolor="this" o:borderbottomcolor="this" o:borderrightcolor="this" fillcolor="window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3026C" w:rsidRDefault="00C3026C">
      <w:pPr>
        <w:pStyle w:val="21"/>
        <w:keepNext/>
        <w:widowControl w:val="0"/>
        <w:tabs>
          <w:tab w:val="left" w:pos="284"/>
        </w:tabs>
        <w:spacing w:line="360" w:lineRule="auto"/>
        <w:ind w:firstLine="284"/>
        <w:jc w:val="right"/>
        <w:rPr>
          <w:b/>
          <w:bCs/>
          <w:sz w:val="24"/>
          <w:szCs w:val="24"/>
        </w:rPr>
      </w:pPr>
    </w:p>
    <w:p w:rsidR="00C3026C" w:rsidRDefault="00C3026C">
      <w:pPr>
        <w:pStyle w:val="21"/>
        <w:keepNext/>
        <w:widowControl w:val="0"/>
        <w:tabs>
          <w:tab w:val="left" w:pos="284"/>
        </w:tabs>
        <w:spacing w:line="360" w:lineRule="auto"/>
        <w:ind w:firstLine="284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2.</w:t>
      </w:r>
    </w:p>
    <w:p w:rsidR="00C3026C" w:rsidRDefault="00C3026C">
      <w:pPr>
        <w:pStyle w:val="a7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«нагрузки повышенным давлением» у больных АГ </w:t>
      </w:r>
    </w:p>
    <w:p w:rsidR="00C3026C" w:rsidRDefault="00C3026C">
      <w:pPr>
        <w:pStyle w:val="a7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 различными метаболическими нарушениями</w:t>
      </w:r>
    </w:p>
    <w:p w:rsidR="00C3026C" w:rsidRDefault="00564C8B">
      <w:pPr>
        <w:pStyle w:val="21"/>
        <w:keepNext/>
        <w:widowControl w:val="0"/>
        <w:tabs>
          <w:tab w:val="left" w:pos="284"/>
        </w:tabs>
        <w:spacing w:line="240" w:lineRule="auto"/>
        <w:jc w:val="center"/>
      </w:pPr>
      <w:r>
        <w:pict>
          <v:shape id="_x0000_i1026" type="#_x0000_t75" style="width:453.75pt;height:238.5pt" o:bordertopcolor="this" o:borderleftcolor="this" o:borderbottomcolor="this" o:borderrightcolor="this" fillcolor="window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</w:p>
    <w:p w:rsidR="00C3026C" w:rsidRDefault="00C3026C">
      <w:pPr>
        <w:pStyle w:val="21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 исследовании показателей центральной гемодинамики выявлено, что у больных изолированной АГ гипертрофия миокарда левого желудочка (ГМЛЖ) встречается в 25% случаев, в то время как у больных АГ с метаболическими нарушениями - в 42 – 79%. У больных АГ в сочетании с АО и пациентов с метаболическим синдромом Х достоверно выше КДО, чем у лиц с изолированной АГ. Достоверных отличий величины ФВ между группами не зарегистрировано. У больных АГ без метаболических нарушений в 57% случаев отмечено нарушение диастолической функции ЛЖ, а при присоединении метаболических факторов риска частота нарушений диастолической функции ЛЖ возрастает до 67 – 80%.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Больные АГ в сочетании с метаболическими нарушениями чаще имеют нарушения реологических свойств крови. Выявлено достоверное повышение вязкости крови и плазмы, увеличение индуцированной агрегации тромбоцитов и ее скорости у пациентов с сопутствующими метаболическими факторами риска. Индекс агрегации эритроцитов (ИАЭ) и уровень фибриногена достоверно выше у больных с сочетанием АГ и дислипидемии, а также при метаболическом синдроме Х (табл. №3).</w:t>
      </w:r>
    </w:p>
    <w:p w:rsidR="00C3026C" w:rsidRDefault="00C3026C">
      <w:pPr>
        <w:pStyle w:val="a6"/>
        <w:keepNext/>
        <w:pageBreakBefore w:val="0"/>
        <w:widowControl w:val="0"/>
        <w:ind w:left="425" w:right="51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Таблица №3.</w:t>
      </w:r>
    </w:p>
    <w:p w:rsidR="00C3026C" w:rsidRDefault="00C3026C">
      <w:pPr>
        <w:pStyle w:val="a6"/>
        <w:keepNext/>
        <w:pageBreakBefore w:val="0"/>
        <w:widowControl w:val="0"/>
        <w:ind w:left="425" w:right="-9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Показатели тробоцитарного гемостаза и реологических свойств </w:t>
      </w:r>
    </w:p>
    <w:p w:rsidR="00C3026C" w:rsidRDefault="00C3026C">
      <w:pPr>
        <w:pStyle w:val="a6"/>
        <w:keepNext/>
        <w:pageBreakBefore w:val="0"/>
        <w:widowControl w:val="0"/>
        <w:ind w:left="425" w:right="-9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крови у больных АГ с метаболическими нарушениями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531"/>
        <w:gridCol w:w="1531"/>
        <w:gridCol w:w="1531"/>
        <w:gridCol w:w="1531"/>
        <w:gridCol w:w="1532"/>
      </w:tblGrid>
      <w:tr w:rsidR="00C3026C" w:rsidRPr="00C3026C">
        <w:trPr>
          <w:cantSplit/>
        </w:trPr>
        <w:tc>
          <w:tcPr>
            <w:tcW w:w="2409" w:type="dxa"/>
            <w:vMerge w:val="restart"/>
            <w:shd w:val="pct12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ind w:left="356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Показатель</w:t>
            </w:r>
          </w:p>
        </w:tc>
        <w:tc>
          <w:tcPr>
            <w:tcW w:w="7656" w:type="dxa"/>
            <w:gridSpan w:val="5"/>
            <w:shd w:val="pct10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Группа больных</w:t>
            </w:r>
          </w:p>
        </w:tc>
      </w:tr>
      <w:tr w:rsidR="00C3026C" w:rsidRPr="00C3026C">
        <w:trPr>
          <w:cantSplit/>
        </w:trPr>
        <w:tc>
          <w:tcPr>
            <w:tcW w:w="2409" w:type="dxa"/>
            <w:vMerge/>
            <w:shd w:val="pct12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53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53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 w:rsidRPr="00C3026C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53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532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  <w:lang w:val="en-US"/>
              </w:rPr>
              <w:t>V</w:t>
            </w:r>
          </w:p>
        </w:tc>
      </w:tr>
      <w:tr w:rsidR="00C3026C" w:rsidRPr="00C3026C">
        <w:trPr>
          <w:cantSplit/>
        </w:trPr>
        <w:tc>
          <w:tcPr>
            <w:tcW w:w="2409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 мкМ АДФ - индуцированная агрегация тромбоцитов (о. е.)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20,8±5,3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40,5±1,0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51,4±7,2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46,1±8,7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  <w:tc>
          <w:tcPr>
            <w:tcW w:w="1532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38,3±4,7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</w:tr>
      <w:tr w:rsidR="00C3026C" w:rsidRPr="00C3026C">
        <w:trPr>
          <w:cantSplit/>
        </w:trPr>
        <w:tc>
          <w:tcPr>
            <w:tcW w:w="2409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Скорость агрегации (о. е. / мин)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0,25±0,04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0,68±0,12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0,79±0,24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0,76±0,33</w:t>
            </w:r>
          </w:p>
        </w:tc>
        <w:tc>
          <w:tcPr>
            <w:tcW w:w="1532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0,75±0,18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</w:tr>
      <w:tr w:rsidR="00C3026C" w:rsidRPr="00C3026C">
        <w:trPr>
          <w:cantSplit/>
          <w:trHeight w:val="751"/>
        </w:trPr>
        <w:tc>
          <w:tcPr>
            <w:tcW w:w="2409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Вязкость крови (СП)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V 100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3,66±0,15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4,16±0,27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4,15±0,16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4,01±0,10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**</w:t>
            </w:r>
          </w:p>
        </w:tc>
        <w:tc>
          <w:tcPr>
            <w:tcW w:w="1532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4,51±0,28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*</w:t>
            </w:r>
          </w:p>
        </w:tc>
      </w:tr>
      <w:tr w:rsidR="00C3026C" w:rsidRPr="00C3026C">
        <w:trPr>
          <w:cantSplit/>
        </w:trPr>
        <w:tc>
          <w:tcPr>
            <w:tcW w:w="2409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ИАЭ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1,26±0,03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1,32±0,04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pacing w:val="-10"/>
                <w:sz w:val="24"/>
                <w:szCs w:val="24"/>
              </w:rPr>
            </w:pPr>
            <w:r w:rsidRPr="00C3026C">
              <w:rPr>
                <w:spacing w:val="-10"/>
                <w:sz w:val="24"/>
                <w:szCs w:val="24"/>
              </w:rPr>
              <w:t>1,35±0,02*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1,30±0,03</w:t>
            </w:r>
          </w:p>
        </w:tc>
        <w:tc>
          <w:tcPr>
            <w:tcW w:w="1532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pacing w:val="-10"/>
                <w:sz w:val="24"/>
                <w:szCs w:val="24"/>
              </w:rPr>
            </w:pPr>
            <w:r w:rsidRPr="00C3026C">
              <w:rPr>
                <w:spacing w:val="-10"/>
                <w:sz w:val="24"/>
                <w:szCs w:val="24"/>
              </w:rPr>
              <w:t>1,37±0,02</w:t>
            </w:r>
            <w:r w:rsidRPr="00C3026C">
              <w:rPr>
                <w:spacing w:val="-42"/>
                <w:sz w:val="24"/>
                <w:szCs w:val="24"/>
              </w:rPr>
              <w:t>**</w:t>
            </w:r>
          </w:p>
        </w:tc>
      </w:tr>
      <w:tr w:rsidR="00C3026C" w:rsidRPr="00C3026C">
        <w:trPr>
          <w:cantSplit/>
        </w:trPr>
        <w:tc>
          <w:tcPr>
            <w:tcW w:w="2409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ИДЭ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1,11±0,01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1,09±0,01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1,05±0,05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1,09±0,01</w:t>
            </w:r>
          </w:p>
        </w:tc>
        <w:tc>
          <w:tcPr>
            <w:tcW w:w="1532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1,17±0,03</w:t>
            </w:r>
          </w:p>
        </w:tc>
      </w:tr>
      <w:tr w:rsidR="00C3026C" w:rsidRPr="00C3026C">
        <w:trPr>
          <w:cantSplit/>
        </w:trPr>
        <w:tc>
          <w:tcPr>
            <w:tcW w:w="2409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Фибриноген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(мг/дл)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312,8 ±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18,5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465,5 ±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33,3**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364,9 ±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18,7*</w:t>
            </w:r>
          </w:p>
        </w:tc>
        <w:tc>
          <w:tcPr>
            <w:tcW w:w="1531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440,1 ±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19,8**</w:t>
            </w:r>
          </w:p>
        </w:tc>
        <w:tc>
          <w:tcPr>
            <w:tcW w:w="1532" w:type="dxa"/>
          </w:tcPr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427,9 ±</w:t>
            </w:r>
          </w:p>
          <w:p w:rsidR="00C3026C" w:rsidRPr="00C3026C" w:rsidRDefault="00C3026C">
            <w:pPr>
              <w:keepNext/>
              <w:widowControl w:val="0"/>
              <w:tabs>
                <w:tab w:val="left" w:pos="426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18,5**</w:t>
            </w:r>
          </w:p>
        </w:tc>
      </w:tr>
    </w:tbl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 р &lt; 0,05, ** р &lt; 0,01, *** р &lt; 0,001 – достоверность отличия с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 группой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Таким образом, распространенность реологических нарушений и ГМЛЖ среди пациентов с метаболическим синдромом, а также их роль в качестве факторов риска делает необходимым раннее их выявление и коррекцию для улучшения течения и прогноза АГ.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Выявлена тенденция, заключающаяся в преобладании у больных АГ с метаболическими факторами риска расстройств невротического регистра и достоверного снижения САН, в отличие от тех больных, у которых эти факторы риска отсутствовали (рис. 3). У пациентов с несколькими метаболическими факторами риска, по сравнению с больными АГ без метаболических нарушений выявлен более высокий уровень эмоциональной напряженности, импульсивности, ригидности аффекта, тревожности и индивидуальности. Результаты анализа </w:t>
      </w:r>
      <w:r>
        <w:rPr>
          <w:sz w:val="24"/>
          <w:szCs w:val="24"/>
          <w:lang w:val="en-US"/>
        </w:rPr>
        <w:t>MMPI</w:t>
      </w:r>
      <w:r>
        <w:rPr>
          <w:sz w:val="24"/>
          <w:szCs w:val="24"/>
        </w:rPr>
        <w:t xml:space="preserve"> выявили наличие невротических и ипохондрических особенностей личности у 14,3% пациентов с АГ без метаболических нарушений и более чем у 50% больных АГ с метаболическими расстройствами. При анализе теста Люшера у больных АГ все варианты цветовых выборок были условно разделены на типичные и нетипичные профили реагирования. Типичные профили реагирования встречались у 55% больных АГ с метаболическими факторами риска и у 61% больных изолированной АГ.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 проведении корреляционного анализа установлены корреляционные взаимосвязи между ИММЛЖ и среднесуточным САД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0,45, р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0,05), индексом площади САДср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0,51, р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0,05), вариабельностью ДАД в период бодрствования (</w:t>
      </w:r>
      <w:r>
        <w:rPr>
          <w:sz w:val="24"/>
          <w:szCs w:val="24"/>
          <w:lang w:val="en-US"/>
        </w:rPr>
        <w:t xml:space="preserve">r </w:t>
      </w:r>
      <w:r>
        <w:rPr>
          <w:sz w:val="24"/>
          <w:szCs w:val="24"/>
        </w:rPr>
        <w:t xml:space="preserve">= 0,38, р 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0,05). Также выявлено неблагоприятное влияние метаболических нарушений на показатели суточного профиля АД. Это подтверждается наличием корреляционной связи между содержанием глюкозы в крови натощак и среднесуточным САД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0,44, р &lt; 0,05), САД во время бодрствования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0,32, р &lt; 0,05), в ночное время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0,38, р &lt; 0,05). О неблагоприятном прогностическом значении повышения показателя ИМТ свидетельствует установленная прямая связь значения показателя с содержанием в крови ТГ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0,31, р &lt; 0,05), ОХС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0,30, р &lt; 0,05), фибриногена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0,41, р &lt; 0,05). Большая прогностическая значимость показателя ИМТ подтверждается его связью с вариабельностью дневного САД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0,25, р &lt; 0,05) и ДАД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0,32, р &lt; 0,05), при повышенных значениях которого значительно возрастает риск поражения органов - мишеней.</w:t>
      </w:r>
    </w:p>
    <w:p w:rsidR="00C3026C" w:rsidRDefault="00C3026C">
      <w:pPr>
        <w:keepNext/>
        <w:widowControl w:val="0"/>
        <w:tabs>
          <w:tab w:val="left" w:pos="567"/>
        </w:tabs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сопоставлении реологических характеристик крови с показателями гемодинамики обнаружены корреляционные зависимости. Так, между сердечным индексом и основным показателем гемореологии – вязкостью крови – установлена обратная корреляционная связь              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- 0,40, р &lt; 0,05). Менее выраженная прямая корреляционная зависимость обнаружена между ОПСС и вязкостью крови (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0,26, р &lt; 0,05). Таким образом, отмечено преобладание в группе больных с гипокинетическим вариантом кровообращения лиц с высокими показателями реологии крови.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3.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Психологические особенности у больных АГ с метаболическими нарушениями</w: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jc w:val="right"/>
        <w:rPr>
          <w:b/>
          <w:bCs/>
          <w:sz w:val="24"/>
          <w:szCs w:val="24"/>
        </w:rPr>
      </w:pP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Самочувствие ( </w:t>
      </w:r>
      <w:r>
        <w:sym w:font="Symbol" w:char="F0E0"/>
      </w:r>
      <w:r>
        <w:rPr>
          <w:b/>
          <w:bCs/>
          <w:sz w:val="24"/>
          <w:szCs w:val="24"/>
        </w:rPr>
        <w:t xml:space="preserve"> ) , активность ( </w:t>
      </w:r>
      <w:r>
        <w:rPr>
          <w:b/>
          <w:bCs/>
          <w:color w:val="C0C0C0"/>
          <w:sz w:val="24"/>
          <w:szCs w:val="24"/>
        </w:rPr>
        <w:sym w:font="Monotype Sorts" w:char="F06E"/>
      </w:r>
      <w:r>
        <w:rPr>
          <w:b/>
          <w:bCs/>
          <w:color w:val="C0C0C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), настроение ( </w:t>
      </w:r>
      <w:r>
        <w:rPr>
          <w:b/>
          <w:bCs/>
          <w:sz w:val="24"/>
          <w:szCs w:val="24"/>
        </w:rPr>
        <w:sym w:font="Monotype Sorts" w:char="F073"/>
      </w:r>
      <w:r>
        <w:rPr>
          <w:b/>
          <w:bCs/>
          <w:sz w:val="24"/>
          <w:szCs w:val="24"/>
        </w:rPr>
        <w:t xml:space="preserve"> )</w:t>
      </w:r>
    </w:p>
    <w:p w:rsidR="00C3026C" w:rsidRDefault="00564C8B">
      <w:pPr>
        <w:pStyle w:val="31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 id="_x0000_i1027" type="#_x0000_t75" style="width:384.75pt;height:2in" fillcolor="window">
            <v:imagedata r:id="rId9" o:title=""/>
          </v:shape>
        </w:pict>
      </w:r>
    </w:p>
    <w:p w:rsidR="00C3026C" w:rsidRDefault="00C3026C">
      <w:pPr>
        <w:pStyle w:val="31"/>
        <w:widowControl w:val="0"/>
        <w:jc w:val="center"/>
        <w:rPr>
          <w:b/>
          <w:bCs/>
          <w:sz w:val="24"/>
          <w:szCs w:val="24"/>
          <w:u w:val="single"/>
        </w:rPr>
      </w:pPr>
    </w:p>
    <w:p w:rsidR="00C3026C" w:rsidRDefault="00C3026C">
      <w:pPr>
        <w:pStyle w:val="31"/>
        <w:widowControl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Тревога </w:t>
      </w:r>
      <w:r>
        <w:rPr>
          <w:b/>
          <w:bCs/>
          <w:color w:val="000000"/>
          <w:sz w:val="24"/>
          <w:szCs w:val="24"/>
        </w:rPr>
        <w:t xml:space="preserve">( </w:t>
      </w:r>
      <w:r>
        <w:rPr>
          <w:b/>
          <w:bCs/>
          <w:color w:val="000000"/>
          <w:sz w:val="24"/>
          <w:szCs w:val="24"/>
        </w:rPr>
        <w:sym w:font="Monotype Sorts" w:char="F06E"/>
      </w:r>
      <w:r>
        <w:rPr>
          <w:b/>
          <w:bCs/>
          <w:color w:val="000000"/>
          <w:sz w:val="24"/>
          <w:szCs w:val="24"/>
        </w:rPr>
        <w:t xml:space="preserve"> ), депрессия ( </w:t>
      </w:r>
      <w:r>
        <w:rPr>
          <w:b/>
          <w:bCs/>
          <w:color w:val="C0C0C0"/>
          <w:sz w:val="24"/>
          <w:szCs w:val="24"/>
        </w:rPr>
        <w:sym w:font="Monotype Sorts" w:char="F073"/>
      </w:r>
      <w:r>
        <w:rPr>
          <w:b/>
          <w:bCs/>
          <w:color w:val="000000"/>
          <w:sz w:val="24"/>
          <w:szCs w:val="24"/>
        </w:rPr>
        <w:t xml:space="preserve"> )</w:t>
      </w:r>
    </w:p>
    <w:p w:rsidR="00C3026C" w:rsidRDefault="00564C8B">
      <w:pPr>
        <w:pStyle w:val="31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 id="_x0000_i1028" type="#_x0000_t75" style="width:384.75pt;height:2in" fillcolor="window">
            <v:imagedata r:id="rId10" o:title=""/>
          </v:shape>
        </w:pict>
      </w:r>
    </w:p>
    <w:p w:rsidR="00C3026C" w:rsidRDefault="00C3026C">
      <w:pPr>
        <w:pStyle w:val="31"/>
        <w:widowControl w:val="0"/>
        <w:jc w:val="center"/>
        <w:rPr>
          <w:b/>
          <w:bCs/>
          <w:sz w:val="24"/>
          <w:szCs w:val="24"/>
        </w:rPr>
      </w:pPr>
    </w:p>
    <w:p w:rsidR="00C3026C" w:rsidRDefault="00C3026C">
      <w:pPr>
        <w:pStyle w:val="31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Качество жизни</w:t>
      </w:r>
    </w:p>
    <w:p w:rsidR="00C3026C" w:rsidRDefault="00564C8B">
      <w:pPr>
        <w:pStyle w:val="31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>
          <v:shape id="_x0000_i1029" type="#_x0000_t75" style="width:384.75pt;height:2in" fillcolor="window">
            <v:imagedata r:id="rId11" o:title=""/>
          </v:shape>
        </w:pict>
      </w:r>
    </w:p>
    <w:p w:rsidR="00C3026C" w:rsidRDefault="00C3026C">
      <w:pPr>
        <w:pStyle w:val="21"/>
        <w:keepNext/>
        <w:widowControl w:val="0"/>
        <w:tabs>
          <w:tab w:val="left" w:pos="567"/>
        </w:tabs>
        <w:spacing w:line="360" w:lineRule="auto"/>
        <w:ind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 р &lt; 0,05, ** р &lt; 0,01 – достоверность отличия с </w:t>
      </w: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 группой</w:t>
      </w:r>
    </w:p>
    <w:p w:rsidR="00C3026C" w:rsidRDefault="00C3026C">
      <w:pPr>
        <w:pStyle w:val="31"/>
        <w:widowControl w:val="0"/>
        <w:jc w:val="center"/>
        <w:rPr>
          <w:b/>
          <w:bCs/>
          <w:sz w:val="24"/>
          <w:szCs w:val="24"/>
        </w:rPr>
      </w:pPr>
    </w:p>
    <w:p w:rsidR="00C3026C" w:rsidRDefault="00C3026C">
      <w:pPr>
        <w:pStyle w:val="31"/>
        <w:widowControl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Эффективность и переносимость гипотензивной терапии </w:t>
      </w:r>
    </w:p>
    <w:p w:rsidR="00C3026C" w:rsidRDefault="00C3026C">
      <w:pPr>
        <w:pStyle w:val="31"/>
        <w:widowControl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эднитом, плендилом и логимаксом;</w:t>
      </w:r>
    </w:p>
    <w:p w:rsidR="00C3026C" w:rsidRDefault="00C3026C">
      <w:pPr>
        <w:pStyle w:val="31"/>
        <w:widowControl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сочетания антигипертензивной и гиполипидемической терапии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В нашем исследовании подтверждается высокая гипотензивная эффективность изучаемых препаратов (рис 4). Наибольшая эффективность наблюдалась при применении комбинированного препарата - логимакса.</w:t>
      </w:r>
    </w:p>
    <w:p w:rsidR="00C3026C" w:rsidRDefault="00C3026C">
      <w:pPr>
        <w:keepNext/>
        <w:widowControl w:val="0"/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Рисунок 4.</w:t>
      </w:r>
    </w:p>
    <w:p w:rsidR="00C3026C" w:rsidRDefault="00C3026C">
      <w:pPr>
        <w:pStyle w:val="a7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Гипотензивная эффективность изучаемых препаратов</w:t>
      </w:r>
    </w:p>
    <w:p w:rsidR="00C3026C" w:rsidRDefault="00C3026C">
      <w:pPr>
        <w:pStyle w:val="a7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результатам традиционного измерения АД (в %)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3254"/>
        <w:gridCol w:w="3254"/>
      </w:tblGrid>
      <w:tr w:rsidR="00C3026C" w:rsidRPr="00C3026C">
        <w:trPr>
          <w:cantSplit/>
          <w:trHeight w:val="2803"/>
        </w:trPr>
        <w:tc>
          <w:tcPr>
            <w:tcW w:w="3254" w:type="dxa"/>
            <w:tcBorders>
              <w:top w:val="single" w:sz="4" w:space="0" w:color="auto"/>
              <w:bottom w:val="nil"/>
              <w:right w:val="nil"/>
            </w:tcBorders>
          </w:tcPr>
          <w:p w:rsidR="00C3026C" w:rsidRPr="00C3026C" w:rsidRDefault="00564C8B">
            <w:pPr>
              <w:pStyle w:val="31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8" style="position:absolute;left:0;text-align:left;margin-left:246.15pt;margin-top:137.85pt;width:21.6pt;height:14.4pt;z-index:251659776" o:allowincell="f" fillcolor="black"/>
              </w:pict>
            </w:r>
            <w:r>
              <w:rPr>
                <w:noProof/>
              </w:rPr>
              <w:pict>
                <v:rect id="_x0000_s1029" style="position:absolute;left:0;text-align:left;margin-left:116.55pt;margin-top:137.85pt;width:21.6pt;height:14.4pt;z-index:251658752" o:allowincell="f" fillcolor="silver"/>
              </w:pict>
            </w:r>
            <w:r>
              <w:rPr>
                <w:noProof/>
              </w:rPr>
              <w:pict>
                <v:rect id="_x0000_s1030" style="position:absolute;left:0;text-align:left;margin-left:8.55pt;margin-top:137.85pt;width:21.6pt;height:14.4pt;z-index:251657728" o:allowincell="f"/>
              </w:pict>
            </w:r>
          </w:p>
          <w:p w:rsidR="00C3026C" w:rsidRPr="00C3026C" w:rsidRDefault="00C3026C">
            <w:pPr>
              <w:pStyle w:val="31"/>
              <w:widowControl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3026C">
              <w:rPr>
                <w:b/>
                <w:bCs/>
                <w:sz w:val="24"/>
                <w:szCs w:val="24"/>
              </w:rPr>
              <w:t>Терапия эднитом</w:t>
            </w:r>
          </w:p>
          <w:p w:rsidR="00C3026C" w:rsidRPr="00C3026C" w:rsidRDefault="00564C8B">
            <w:pPr>
              <w:pStyle w:val="31"/>
              <w:widowControl w:val="0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0" type="#_x0000_t75" style="width:141.75pt;height:87pt" fillcolor="window">
                  <v:imagedata r:id="rId12" o:title=""/>
                </v:shape>
              </w:pic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026C" w:rsidRPr="00C3026C" w:rsidRDefault="00C3026C">
            <w:pPr>
              <w:pStyle w:val="31"/>
              <w:widowControl w:val="0"/>
              <w:ind w:firstLine="7"/>
              <w:jc w:val="center"/>
              <w:rPr>
                <w:sz w:val="24"/>
                <w:szCs w:val="24"/>
              </w:rPr>
            </w:pPr>
          </w:p>
          <w:p w:rsidR="00C3026C" w:rsidRPr="00C3026C" w:rsidRDefault="00C3026C">
            <w:pPr>
              <w:pStyle w:val="31"/>
              <w:widowControl w:val="0"/>
              <w:ind w:firstLine="7"/>
              <w:jc w:val="center"/>
              <w:rPr>
                <w:b/>
                <w:bCs/>
                <w:sz w:val="24"/>
                <w:szCs w:val="24"/>
              </w:rPr>
            </w:pPr>
            <w:r w:rsidRPr="00C3026C">
              <w:rPr>
                <w:b/>
                <w:bCs/>
                <w:sz w:val="24"/>
                <w:szCs w:val="24"/>
              </w:rPr>
              <w:t>Терапия плендилом</w:t>
            </w:r>
          </w:p>
          <w:p w:rsidR="00C3026C" w:rsidRPr="00C3026C" w:rsidRDefault="00564C8B">
            <w:pPr>
              <w:pStyle w:val="31"/>
              <w:widowControl w:val="0"/>
              <w:ind w:firstLine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1" type="#_x0000_t75" style="width:138pt;height:84pt" fillcolor="window">
                  <v:imagedata r:id="rId13" o:title=""/>
                </v:shape>
              </w:pic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</w:tcBorders>
          </w:tcPr>
          <w:p w:rsidR="00C3026C" w:rsidRPr="00C3026C" w:rsidRDefault="00C3026C">
            <w:pPr>
              <w:pStyle w:val="31"/>
              <w:widowControl w:val="0"/>
              <w:ind w:firstLine="13"/>
              <w:jc w:val="center"/>
              <w:rPr>
                <w:sz w:val="24"/>
                <w:szCs w:val="24"/>
              </w:rPr>
            </w:pPr>
          </w:p>
          <w:p w:rsidR="00C3026C" w:rsidRPr="00C3026C" w:rsidRDefault="00C3026C">
            <w:pPr>
              <w:pStyle w:val="31"/>
              <w:widowControl w:val="0"/>
              <w:ind w:firstLine="13"/>
              <w:jc w:val="center"/>
              <w:rPr>
                <w:b/>
                <w:bCs/>
                <w:sz w:val="24"/>
                <w:szCs w:val="24"/>
              </w:rPr>
            </w:pPr>
            <w:r w:rsidRPr="00C3026C">
              <w:rPr>
                <w:b/>
                <w:bCs/>
                <w:sz w:val="24"/>
                <w:szCs w:val="24"/>
              </w:rPr>
              <w:t>Терапия логимаксом</w:t>
            </w:r>
          </w:p>
          <w:p w:rsidR="00C3026C" w:rsidRPr="00C3026C" w:rsidRDefault="00564C8B">
            <w:pPr>
              <w:pStyle w:val="31"/>
              <w:widowControl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32" type="#_x0000_t75" style="width:142.5pt;height:84pt" fillcolor="window">
                  <v:imagedata r:id="rId14" o:title=""/>
                </v:shape>
              </w:pict>
            </w:r>
          </w:p>
        </w:tc>
      </w:tr>
      <w:tr w:rsidR="00C3026C" w:rsidRPr="00C3026C">
        <w:trPr>
          <w:cantSplit/>
          <w:trHeight w:val="414"/>
        </w:trPr>
        <w:tc>
          <w:tcPr>
            <w:tcW w:w="9762" w:type="dxa"/>
            <w:gridSpan w:val="3"/>
            <w:tcBorders>
              <w:top w:val="nil"/>
              <w:bottom w:val="single" w:sz="4" w:space="0" w:color="auto"/>
            </w:tcBorders>
          </w:tcPr>
          <w:p w:rsidR="00C3026C" w:rsidRPr="00C3026C" w:rsidRDefault="00C3026C">
            <w:pPr>
              <w:pStyle w:val="31"/>
              <w:widowControl w:val="0"/>
              <w:ind w:firstLine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 xml:space="preserve">             - полный                     - частичный                     - недостаточный эффект</w:t>
            </w:r>
          </w:p>
        </w:tc>
      </w:tr>
    </w:tbl>
    <w:p w:rsidR="00C3026C" w:rsidRDefault="00C3026C">
      <w:pPr>
        <w:pStyle w:val="31"/>
        <w:widowControl w:val="0"/>
        <w:rPr>
          <w:sz w:val="24"/>
          <w:szCs w:val="24"/>
        </w:rPr>
      </w:pP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На фоне терапии достигнуты положительные изменения показателей суточного профиля АД (табл. 4). </w:t>
      </w:r>
    </w:p>
    <w:p w:rsidR="00C3026C" w:rsidRDefault="00C3026C">
      <w:pPr>
        <w:pStyle w:val="a7"/>
        <w:keepNext/>
        <w:widowControl w:val="0"/>
        <w:spacing w:line="360" w:lineRule="auto"/>
        <w:jc w:val="right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№ 4. </w:t>
      </w:r>
    </w:p>
    <w:p w:rsidR="00C3026C" w:rsidRDefault="00C3026C">
      <w:pPr>
        <w:pStyle w:val="a7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Динамика средних показателей СМАД на фоне терапии </w:t>
      </w:r>
    </w:p>
    <w:p w:rsidR="00C3026C" w:rsidRDefault="00C3026C">
      <w:pPr>
        <w:pStyle w:val="a7"/>
        <w:keepNext/>
        <w:widowControl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 больных АГ с метаболическими факторами риска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126"/>
        <w:gridCol w:w="2126"/>
        <w:gridCol w:w="2126"/>
      </w:tblGrid>
      <w:tr w:rsidR="00C3026C" w:rsidRPr="00C3026C">
        <w:trPr>
          <w:cantSplit/>
          <w:trHeight w:val="170"/>
        </w:trPr>
        <w:tc>
          <w:tcPr>
            <w:tcW w:w="3261" w:type="dxa"/>
            <w:vMerge w:val="restart"/>
            <w:shd w:val="pct10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Показатель</w:t>
            </w:r>
          </w:p>
        </w:tc>
        <w:tc>
          <w:tcPr>
            <w:tcW w:w="6378" w:type="dxa"/>
            <w:gridSpan w:val="3"/>
            <w:shd w:val="pct5" w:color="000000" w:fill="FFFFFF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Δ, %</w:t>
            </w:r>
          </w:p>
        </w:tc>
      </w:tr>
      <w:tr w:rsidR="00C3026C" w:rsidRPr="00C3026C">
        <w:trPr>
          <w:cantSplit/>
          <w:trHeight w:val="170"/>
        </w:trPr>
        <w:tc>
          <w:tcPr>
            <w:tcW w:w="3261" w:type="dxa"/>
            <w:vMerge/>
            <w:shd w:val="pct10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pct5" w:color="000000" w:fill="FFFFFF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Эднит</w:t>
            </w:r>
          </w:p>
        </w:tc>
        <w:tc>
          <w:tcPr>
            <w:tcW w:w="2126" w:type="dxa"/>
            <w:shd w:val="pct5" w:color="000000" w:fill="FFFFFF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Плендил</w:t>
            </w:r>
          </w:p>
        </w:tc>
        <w:tc>
          <w:tcPr>
            <w:tcW w:w="2126" w:type="dxa"/>
            <w:shd w:val="pct5" w:color="000000" w:fill="FFFFFF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Логимакс</w:t>
            </w:r>
          </w:p>
        </w:tc>
      </w:tr>
      <w:tr w:rsidR="00C3026C" w:rsidRPr="00C3026C">
        <w:trPr>
          <w:cantSplit/>
        </w:trPr>
        <w:tc>
          <w:tcPr>
            <w:tcW w:w="326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САДср, мм рт. ст.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b"/>
              <w:keepNext/>
              <w:widowControl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-14,5***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21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-15,9***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-14,0***</w:t>
            </w:r>
          </w:p>
        </w:tc>
      </w:tr>
      <w:tr w:rsidR="00C3026C" w:rsidRPr="00C3026C">
        <w:trPr>
          <w:cantSplit/>
        </w:trPr>
        <w:tc>
          <w:tcPr>
            <w:tcW w:w="326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ДАДср, мм рт. ст.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b"/>
              <w:keepNext/>
              <w:widowControl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-13,6**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21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-11,3**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-12,5*</w:t>
            </w:r>
          </w:p>
        </w:tc>
      </w:tr>
      <w:tr w:rsidR="00C3026C" w:rsidRPr="00C3026C">
        <w:trPr>
          <w:cantSplit/>
        </w:trPr>
        <w:tc>
          <w:tcPr>
            <w:tcW w:w="326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ЧССср, уд/мин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b"/>
              <w:keepNext/>
              <w:widowControl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-4,0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21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1,7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-8,6*</w:t>
            </w:r>
          </w:p>
        </w:tc>
      </w:tr>
      <w:tr w:rsidR="00C3026C" w:rsidRPr="00C3026C">
        <w:trPr>
          <w:cantSplit/>
        </w:trPr>
        <w:tc>
          <w:tcPr>
            <w:tcW w:w="326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ИВ САДср, %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-63,0**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-108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-59,5**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-60,1***</w:t>
            </w:r>
          </w:p>
        </w:tc>
      </w:tr>
      <w:tr w:rsidR="00C3026C" w:rsidRPr="00C3026C">
        <w:trPr>
          <w:cantSplit/>
        </w:trPr>
        <w:tc>
          <w:tcPr>
            <w:tcW w:w="326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ИВ ДАДср, %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-60,6**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-108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-52,6**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-67,2**</w:t>
            </w:r>
          </w:p>
        </w:tc>
      </w:tr>
      <w:tr w:rsidR="00C3026C" w:rsidRPr="00C3026C">
        <w:trPr>
          <w:cantSplit/>
        </w:trPr>
        <w:tc>
          <w:tcPr>
            <w:tcW w:w="326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ИП САДср, %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-79,6***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-108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-80,5**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-76,4***</w:t>
            </w:r>
          </w:p>
        </w:tc>
      </w:tr>
      <w:tr w:rsidR="00C3026C" w:rsidRPr="00C3026C">
        <w:trPr>
          <w:cantSplit/>
        </w:trPr>
        <w:tc>
          <w:tcPr>
            <w:tcW w:w="3261" w:type="dxa"/>
            <w:shd w:val="pct5" w:color="000000" w:fill="FFFFFF"/>
          </w:tcPr>
          <w:p w:rsidR="00C3026C" w:rsidRPr="00C3026C" w:rsidRDefault="00C3026C">
            <w:pPr>
              <w:keepNext/>
              <w:widowControl w:val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ИП ДАДср, %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7"/>
              <w:keepNext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-78,2**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-108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-67,0**</w:t>
            </w:r>
          </w:p>
        </w:tc>
        <w:tc>
          <w:tcPr>
            <w:tcW w:w="2126" w:type="dxa"/>
          </w:tcPr>
          <w:p w:rsidR="00C3026C" w:rsidRPr="00C3026C" w:rsidRDefault="00C3026C">
            <w:pPr>
              <w:pStyle w:val="a6"/>
              <w:keepNext/>
              <w:pageBreakBefore w:val="0"/>
              <w:widowControl w:val="0"/>
              <w:spacing w:line="240" w:lineRule="auto"/>
              <w:ind w:left="0" w:right="0"/>
              <w:rPr>
                <w:sz w:val="24"/>
                <w:szCs w:val="24"/>
              </w:rPr>
            </w:pPr>
            <w:r w:rsidRPr="00C3026C">
              <w:rPr>
                <w:sz w:val="24"/>
                <w:szCs w:val="24"/>
              </w:rPr>
              <w:t>-64,3**</w:t>
            </w:r>
          </w:p>
        </w:tc>
      </w:tr>
    </w:tbl>
    <w:p w:rsidR="00C3026C" w:rsidRDefault="00C3026C">
      <w:pPr>
        <w:pStyle w:val="a7"/>
        <w:keepNext/>
        <w:widowControl w:val="0"/>
        <w:spacing w:line="240" w:lineRule="auto"/>
        <w:ind w:firstLine="567"/>
        <w:rPr>
          <w:sz w:val="24"/>
          <w:szCs w:val="24"/>
        </w:rPr>
      </w:pPr>
      <w:r>
        <w:rPr>
          <w:i/>
          <w:iCs/>
          <w:sz w:val="24"/>
          <w:szCs w:val="24"/>
        </w:rPr>
        <w:t>* р &lt; 0,05, ** р &lt; 0,01, *** р &lt; 0,001 – достоверность отличия с исходом</w:t>
      </w:r>
    </w:p>
    <w:p w:rsidR="00C3026C" w:rsidRDefault="00C3026C">
      <w:pPr>
        <w:pStyle w:val="31"/>
        <w:widowControl w:val="0"/>
        <w:rPr>
          <w:sz w:val="24"/>
          <w:szCs w:val="24"/>
        </w:rPr>
      </w:pP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Все исследуемые препараты оказывали отчетливое влияние на среднесуточные показатели АД и его нагрузки. Отмечено, что у пациентов с исходно нормальной вариабельностью АД его значимых изменений не произошло, а у лиц с высокой вариабельностью АД произошло достоверное снижение стандартного отклонения САД (ДАД) днем – на 30% (34%), ночью – на 31% (33%) в группе эднита; днем на 20% (14%), ночью – на 13% (14%) в группе плендила и днем на 19% (18% н. д.), ночью – на 34% (36%) в группе логимакса.</w:t>
      </w:r>
    </w:p>
    <w:p w:rsidR="00C3026C" w:rsidRDefault="00C3026C">
      <w:pPr>
        <w:pStyle w:val="a7"/>
        <w:keepNext/>
        <w:widowControl w:val="0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Изучаемые препараты положительно влияют на типы суточных кривых. У пациентов с исходно нормальным снижением АД во время сна не изменилась выраженность двухфазного ритма АД. У больных с недостаточным снижением АД во время сна и ночной гипертонией отмечено желательное в этой группе пациентов увеличение перепада «день-ночь». Терапия привела к уменьшению процента больных с ночной гипотонией (рис. 5).</w:t>
      </w:r>
    </w:p>
    <w:p w:rsidR="00C3026C" w:rsidRDefault="00C3026C">
      <w:pPr>
        <w:pStyle w:val="a7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Снижение величины и скорости утреннего подъема АД, а в нашем исследовании их снижение достигнуто во всех 3-х группах, сопровождается уменьшением риска поражения органов - мишеней. </w:t>
      </w:r>
    </w:p>
    <w:p w:rsidR="00C3026C" w:rsidRDefault="00C3026C">
      <w:pPr>
        <w:pStyle w:val="a7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Зарегистрировано повышение ФВ во всех группах лечения, достоверное лишь в группе фелодипина. Мы наблюдали некоторую динамику параметров ЛЖ. Во всех группах лечения отмечена тенденция к уменьшению толщины стенок ЛЖ (толщина МЖП достоверно уменьшилась на 12,7% при лечении эднитом). При изначально высоком ИММЛЖ он менялся наиболее значимо, однако и у пациентов без ГМЛЖ отмечена тенденция к уменьшению ИММЛЖ. Выявлено тенденция к снижению ОПСС, достоверная на фоне лечении плендилом и логимаксом. Достоверно улучшилась диастолическая функция ЛЖ. Процент больных, имеющих нарушение диастолической функции ЛЖ, уменьшился на 46,2%, 57,0%, 40,9% в группах эднита, плендила и логимакса соответственно.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Терапия исследуемыми препаратами не усугубляла имеющиеся у больных метаболические расстройства, не ухудшала реологию крови.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На фоне терапии эднитом, плендилом и логимаксом отмечено достоверное улучшение качества жизни пациентов на 17,9%, 15,6% и 19,3% соответственно. Достоверно снизилась частота головокружений, уменьшились головные боли, улучшилась работоспособность. В процессе лечения эднитом у больных заметно снизилось чувство тревоги и беспокойства, уменьшилась утомляемость. Отмечена тенденция к снижению уровня депрессии (достоверная в группах больных, которым проводилась терапия эднитом и логимаксом) и личностной тревоги. Также выявлено увеличение уровня субъективного контроля, свидетельствующее о повышении ответственности больного за свое здоровье и понимание, того что улучшение самочувствия во многом зависит от его действий.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При приеме эднита, плендила и логимакса мы отметили побочные реакции в 11,2%, 16% и 13,3% случаев соответственно с отменой препарата в группе эднита в 8,4% и в группе плендила в 4% случаев. Патологических отклонений в общем и биохимическом анализах крови и в общем анализе мочи при контрольных исследованиях не отмечено.</w:t>
      </w:r>
    </w:p>
    <w:p w:rsidR="00C3026C" w:rsidRDefault="00C3026C">
      <w:pPr>
        <w:pStyle w:val="a7"/>
        <w:keepNext/>
        <w:widowControl w:val="0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 больных, получавших наряду с гипотензивной терапией липобай в течение 2-х месяцев, отмечены положительные изменения липидного спектра: достоверное снижение ОХ на 22,4%; ХС-ЛПНП на 32,8%; ТГ на 25,9%; Апо В на 19,3% и тенденция к повышению ХС-ЛПВП (на 6,1%). Достоверных изменений других биохимических, коагулологических показателей, глюкозы крови не наблюдалось. </w:t>
      </w:r>
    </w:p>
    <w:p w:rsidR="00C3026C" w:rsidRDefault="00C3026C">
      <w:pPr>
        <w:pStyle w:val="a7"/>
        <w:keepNext/>
        <w:widowControl w:val="0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Таким образом, у 98 % пациентов достигнуты положительные изменения липидного спектра после 2-х – месячной терапии липобаем (53% пациентов показали отличный результат, 38% больных - хороший, 7% больных – удовлетворительный эффект). Для 2% больных результат лечения оказался неудовлетворительным. Полученные результаты представляются весьма желательными, так как дислипидемия, также как и АГ, рассматривается в качестве самостоятельного фактора риска сердечно-сосудистых осложнений и необходимо учитывать это обстоятельство при подборе терапии. Побочные действия препарата зарегистрированы у 20% больных с отменой препарата в 4,5% случаев.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Уменьшение тесноты связи на фоне терапии между уровнем глюкозы и САДср, САД во время сна и в период бодрствования у всех обследованных больных свидетельствует об эффективности применения эднита, плендила и логимакса при АГ в условиях инсулинорезистентности.</w:t>
      </w:r>
    </w:p>
    <w:p w:rsidR="00C3026C" w:rsidRDefault="00C3026C">
      <w:pPr>
        <w:pStyle w:val="23"/>
        <w:keepNext/>
        <w:widowControl w:val="0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Зависимость сердечного индекса от вязкости крови на фоне лечения снижается у всей группы больных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-0,40,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-0,29, н. д.), так же как и взаимоотношение вязкости крови и ДАДср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0,45,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0,10, н. д.).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Уменьшение тесноты связи между уровнем глюкозы и САДср, САД во время сна и в период бодрствования у всех обследованных больных свидетельствует об эффективности применения эднита, плендила и логимакса при АГ в условиях инсулинорезистентности.</w:t>
      </w:r>
    </w:p>
    <w:p w:rsidR="00C3026C" w:rsidRDefault="00C3026C">
      <w:pPr>
        <w:pStyle w:val="23"/>
        <w:keepNext/>
        <w:widowControl w:val="0"/>
        <w:spacing w:line="36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Зависимость сердечного индекса от вязкости крови на фоне лечения снижается у всей группы больных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-0,40,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-0,29, н. д.), так же как и взаимоотношение вязкости крови и ДАДср (исход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0,45,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&lt; 0,05; после лечения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 = 0,10, н. д.).</w:t>
      </w:r>
    </w:p>
    <w:p w:rsidR="00C3026C" w:rsidRDefault="00C3026C">
      <w:pPr>
        <w:pStyle w:val="a7"/>
        <w:keepNext/>
        <w:widowControl w:val="0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При снижении ДАДср на фоне лечения связь между вязкостью крови и ДАДср уменьшилась, что свидетельствует об отсутствии негативного влияния снижения среднесуточного ДАД на реологические свойства крови.</w:t>
      </w:r>
    </w:p>
    <w:p w:rsidR="00C3026C" w:rsidRDefault="00C3026C">
      <w:pPr>
        <w:pStyle w:val="31"/>
        <w:widowControl w:val="0"/>
        <w:rPr>
          <w:sz w:val="24"/>
          <w:szCs w:val="24"/>
        </w:rPr>
      </w:pPr>
      <w:r>
        <w:rPr>
          <w:sz w:val="24"/>
          <w:szCs w:val="24"/>
        </w:rPr>
        <w:t>Таким образом, АГ увеличивает риск развития сердечно-сосудистых осложнений и смерти, но этот риск резко возрастает, когда к АГ присоединяются метаболические факторы риска. У больных АГ с метаболическими расстройствами по сравнению с пациентами, страдающими изолированной АГ, чаще выявляются нарушения СПАД, патологические изменения миокарда и гемореологии, которые повышают вероятность развития сердечно-сосудистых осложнений, вследствие чего эти больные должны рассматриваться в качестве группы высокого риска развития сердечно-сосудистых осложнений. Пациентам с метаболическим синдромом показана длительная антигипертензивная терапия, выбор которой должен осуществляться с учетом сопутствующих, в первую очередь корригируемых факторов риска, наиболее значимыми из которых являются ГМЛЖ и нарушения СПАД. Также целесообразно одновременно выявлять и корригировать метаболические факторы риска, в частности атерогенную дислипидемию, что даст более заметный эффект в борьбе с АГ и ее осложнениями.</w:t>
      </w:r>
    </w:p>
    <w:p w:rsidR="00C3026C" w:rsidRDefault="00C3026C">
      <w:pPr>
        <w:keepNext/>
        <w:widowControl w:val="0"/>
        <w:tabs>
          <w:tab w:val="left" w:pos="426"/>
        </w:tabs>
        <w:spacing w:line="360" w:lineRule="auto"/>
        <w:jc w:val="both"/>
        <w:rPr>
          <w:sz w:val="24"/>
          <w:szCs w:val="24"/>
        </w:rPr>
      </w:pPr>
    </w:p>
    <w:p w:rsidR="00C3026C" w:rsidRDefault="00C3026C">
      <w:pPr>
        <w:pStyle w:val="3"/>
        <w:widowControl w:val="0"/>
        <w:tabs>
          <w:tab w:val="left" w:pos="9498"/>
        </w:tabs>
        <w:spacing w:line="36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t>Выводы</w:t>
      </w:r>
    </w:p>
    <w:p w:rsidR="00C3026C" w:rsidRDefault="00C3026C">
      <w:pPr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pacing w:val="-20"/>
          <w:sz w:val="24"/>
          <w:szCs w:val="24"/>
        </w:rPr>
      </w:pPr>
      <w:r>
        <w:rPr>
          <w:sz w:val="24"/>
          <w:szCs w:val="24"/>
        </w:rPr>
        <w:t>По сравнению с больными изолированной АГ, у лиц, страдающих АГ с метаболическими расстройствами, чаще выявляются нарушения СПАД с более высокими значениями АД, показателями «нагрузки давлением» и более высокой вариабельностью АД. Значительно чаще у них наблюдается ГМЛЖ (42-79%) и нарушение диастолической функции ЛЖ (67-80%). Достоверное выше вязкость крови, ИАЭ и уровень фибриногена, индуцированная агрегация тромбоцитов и ее скорость. Больные АГ с метаболическими факторами риска чаще страдали расстройствами невротического регистра (50%), чем пациенты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>без этих факторов (14,3%)</w:t>
      </w:r>
      <w:r>
        <w:rPr>
          <w:spacing w:val="-20"/>
          <w:sz w:val="24"/>
          <w:szCs w:val="24"/>
        </w:rPr>
        <w:t>.</w:t>
      </w:r>
    </w:p>
    <w:p w:rsidR="00C3026C" w:rsidRDefault="00C3026C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Полный гипотензивный эффект при лечении эднитом, плендилом и логимаксом у больных АГ с метаболическими факторами риска составил 67,7%, 66,4% и 73,2% соответственно.</w:t>
      </w:r>
    </w:p>
    <w:p w:rsidR="00C3026C" w:rsidRDefault="00C3026C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Терапия эднитом, плендилом и логимаксом улучшает СПАД путем уменьшения усредненных показателей АД, нагрузки «гипертоническими величинами», снижения исходно высокой вариабельности АД. Возрастает процент 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 xml:space="preserve">, при уменьшении типов </w:t>
      </w:r>
      <w:r>
        <w:rPr>
          <w:sz w:val="24"/>
          <w:szCs w:val="24"/>
          <w:lang w:val="en-US"/>
        </w:rPr>
        <w:t>over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non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dippers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night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peakers</w:t>
      </w:r>
      <w:r>
        <w:rPr>
          <w:sz w:val="24"/>
          <w:szCs w:val="24"/>
        </w:rPr>
        <w:t>.</w:t>
      </w:r>
    </w:p>
    <w:p w:rsidR="00C3026C" w:rsidRDefault="00C3026C">
      <w:pPr>
        <w:pStyle w:val="21"/>
        <w:keepNext/>
        <w:widowControl w:val="0"/>
        <w:tabs>
          <w:tab w:val="left" w:pos="426"/>
        </w:tabs>
        <w:spacing w:line="36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На фоне терапии эднитом, плендилом и логимаксом отмечено достоверное улучшение качества жизни на 17,9%, 15,6% и 19,3% соответственно.</w:t>
      </w:r>
    </w:p>
    <w:p w:rsidR="00C3026C" w:rsidRDefault="00C3026C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Установлено, что исследуемые препараты (эднит, плендил и логимакс) не усугубляют имеющиеся у больных метаболические нарушения, не ухудшают реологию крови. Побочные реакции имели место при лечении эднитом в 11,1% случаев (отмена – 8,4%), плендилом – 16% (отмена – 4%), логимаксом – 13,3% (отмены препарата не потребовалось), при применении комбинированной терапии в – 20% (отмена – 4,5%).</w:t>
      </w:r>
    </w:p>
    <w:p w:rsidR="00C3026C" w:rsidRDefault="00C3026C">
      <w:pPr>
        <w:keepNext/>
        <w:widowControl w:val="0"/>
        <w:numPr>
          <w:ilvl w:val="0"/>
          <w:numId w:val="15"/>
        </w:numPr>
        <w:tabs>
          <w:tab w:val="left" w:pos="426"/>
        </w:tabs>
        <w:spacing w:line="36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При комбинации гипотензивной терапии с гиполипидемическим препаратом – липобаем – у больных АГ с атерогенной дислипидемией достигаются положительные изменения липидного спектра в 98% случаев за счет снижения ОХ на 22,4%, ХС-ЛПНП на 32,8%, ТГ на 25,9% и повышения ХС-ЛПВП на 6,1%.</w:t>
      </w:r>
    </w:p>
    <w:p w:rsidR="00C3026C" w:rsidRDefault="00C3026C">
      <w:pPr>
        <w:keepNext/>
        <w:widowControl w:val="0"/>
        <w:tabs>
          <w:tab w:val="num" w:pos="0"/>
          <w:tab w:val="left" w:pos="426"/>
        </w:tabs>
        <w:spacing w:line="360" w:lineRule="auto"/>
        <w:ind w:firstLine="851"/>
        <w:jc w:val="both"/>
        <w:rPr>
          <w:b/>
          <w:bCs/>
          <w:sz w:val="24"/>
          <w:szCs w:val="24"/>
        </w:rPr>
      </w:pPr>
    </w:p>
    <w:p w:rsidR="00C3026C" w:rsidRDefault="00C3026C">
      <w:pPr>
        <w:keepNext/>
        <w:widowControl w:val="0"/>
        <w:tabs>
          <w:tab w:val="num" w:pos="0"/>
          <w:tab w:val="left" w:pos="426"/>
        </w:tabs>
        <w:spacing w:line="360" w:lineRule="auto"/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Практические рекомендации</w:t>
      </w:r>
    </w:p>
    <w:p w:rsidR="00C3026C" w:rsidRDefault="00C3026C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 комплексе обследования больных АГ целенаправленное выявление сопутствующих метаболических факторов риска;</w:t>
      </w:r>
    </w:p>
    <w:p w:rsidR="00C3026C" w:rsidRDefault="00C3026C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Установленные данные о специфических изменениях СПАД и его связи с факторами риска развития осложнений АГ являются основанием для рекомендации использования СМАД в качестве обязательного метода обследования больных мягкой и умеренной АГ. СМАД помогает подбору адекватной терапии, обеспечивающей контроль показателей АД и ЧСС на протяжении 24 часов.</w:t>
      </w:r>
    </w:p>
    <w:p w:rsidR="00C3026C" w:rsidRDefault="00C3026C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142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Подбор индивидуальных дозировок необходимо проводить по результатам СМАД. С учетом пролонгированного действия изученных препаратов можно рекомендовать применения эднита в суточной дозе 2,5 – 40 мг 1 раз/сутки, плендила в дозе 5 – 10 мг 1 раз/сутки и логимакса в дозе 5 (50) / 10 (100) мг 1 раз/сутки.</w:t>
      </w:r>
    </w:p>
    <w:p w:rsidR="00C3026C" w:rsidRDefault="00C3026C">
      <w:pPr>
        <w:keepNext/>
        <w:widowControl w:val="0"/>
        <w:numPr>
          <w:ilvl w:val="0"/>
          <w:numId w:val="16"/>
        </w:numPr>
        <w:tabs>
          <w:tab w:val="clear" w:pos="360"/>
          <w:tab w:val="num" w:pos="0"/>
          <w:tab w:val="left" w:pos="142"/>
          <w:tab w:val="left" w:pos="426"/>
        </w:tabs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Выраженные изменения липидного обмена у больных АГ требуют подключения к гипотензивной терапии гиполипидемических препаратов (липобай в дозе 0,2 – 0,4 мг / сут).</w:t>
      </w:r>
    </w:p>
    <w:p w:rsidR="00C3026C" w:rsidRDefault="00C3026C">
      <w:pPr>
        <w:keepNext/>
        <w:widowControl w:val="0"/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C3026C" w:rsidRDefault="00C3026C">
      <w:pPr>
        <w:keepNext/>
        <w:widowControl w:val="0"/>
        <w:tabs>
          <w:tab w:val="num" w:pos="0"/>
          <w:tab w:val="left" w:pos="426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работ, опубликованных по теме диссертации: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Отечественный опыт применения Липобая у больных гиперлипидемией. // Матер.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Национального конгресса “Человек и лекарство.” </w:t>
      </w:r>
      <w:r>
        <w:rPr>
          <w:sz w:val="24"/>
          <w:szCs w:val="24"/>
          <w:lang w:val="en-US"/>
        </w:rPr>
        <w:t xml:space="preserve">Москва -1999. </w:t>
      </w:r>
      <w:r>
        <w:rPr>
          <w:sz w:val="24"/>
          <w:szCs w:val="24"/>
        </w:rPr>
        <w:t>С.- 160.</w:t>
      </w:r>
      <w:r>
        <w:rPr>
          <w:sz w:val="24"/>
          <w:szCs w:val="24"/>
          <w:lang w:val="en-US"/>
        </w:rPr>
        <w:t xml:space="preserve"> (в соавт. с В.С.Задионченко)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Липобая (церивастатина) у больных дислипидемией. // Клиническая фармакология и фармакотерапия. 1999. № 4. С.54 - 55.</w:t>
      </w:r>
      <w:r>
        <w:rPr>
          <w:sz w:val="24"/>
          <w:szCs w:val="24"/>
          <w:lang w:val="en-US"/>
        </w:rPr>
        <w:t xml:space="preserve"> (в соавт. с В.С.Задионченко)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Плендида у больных артериальной гипертонией с метаболическими нарушениями. // Клиническая фармакология и фармакотерапия. 1999. № 6. с.28 - 30.</w:t>
      </w:r>
      <w:r>
        <w:rPr>
          <w:sz w:val="24"/>
          <w:szCs w:val="24"/>
          <w:lang w:val="en-US"/>
        </w:rPr>
        <w:t xml:space="preserve"> (в соавт. с В.С.Задионченко)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Опыт применения препарата Липобай при лечении гиперхолестеринемии.// Сборник тезисов ХХ итоговой межвузовской научной конференции молодых ученых. Москва -1998. С. 90- 91.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Отечественный опыт применения Липобая (церивастатина) у больных дислипидемией. // Труды Международного форума. Кардиология –99. Москва -1999. С. 121 – 126. </w:t>
      </w:r>
      <w:r>
        <w:rPr>
          <w:sz w:val="24"/>
          <w:szCs w:val="24"/>
          <w:lang w:val="en-US"/>
        </w:rPr>
        <w:t>(в соавт. с В.С.Задионченко)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Эднита у больных АГ с метаболическим синдромом. // Российский Кардиологический журнал №4 (приложение). Тезисы докладов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Всероссийского съезда кардиологов. - Москва. – 1999. С. 51.</w:t>
      </w:r>
      <w:r>
        <w:rPr>
          <w:sz w:val="24"/>
          <w:szCs w:val="24"/>
          <w:lang w:val="en-US"/>
        </w:rPr>
        <w:t xml:space="preserve"> (в соавт. с В.С.Задионченко)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ингибитора АПФ - Эднита у больных артериальной гипертонией с метаболическими нарушениями. // Матер. тезисов к Российской конференции: «Лечение и профилактика артериальной гипертонии» в рамках Второй междунароной специализированной выставки «Кардиология – 2000» и Российского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века». – Москва. – 2000. С.46</w:t>
      </w:r>
      <w:r>
        <w:rPr>
          <w:sz w:val="24"/>
          <w:szCs w:val="24"/>
          <w:lang w:val="en-US"/>
        </w:rPr>
        <w:t xml:space="preserve"> 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Плендида у больных артериальной гипертонией с метаболическими нарушениями. // Матер. тезисов к Российской конференции: «Лечение и профилактика артериальной гипертонии» в рамках Второй междунароной специализированной выставки «Кардиология – 2000» и Российского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века». – Москва. – 2000. С.45</w:t>
      </w:r>
      <w:r>
        <w:rPr>
          <w:sz w:val="24"/>
          <w:szCs w:val="24"/>
          <w:lang w:val="en-US"/>
        </w:rPr>
        <w:t xml:space="preserve"> 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Логимакса у больных артериальной гипертонией с метаболическими нарушениями. // Матер. тезисов к Российской конференции: «Лечение и профилактика артериальной гипертонии» в рамках Второй международной специализированной выставки «Кардиология – 2000» и Российского научного форума «Российская кардиология в начале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века». – Москва. – 2000. С.</w:t>
      </w:r>
      <w:r>
        <w:rPr>
          <w:sz w:val="24"/>
          <w:szCs w:val="24"/>
          <w:lang w:val="en-US"/>
        </w:rPr>
        <w:t xml:space="preserve"> 47 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Новый препарат - Логимакс у больных артериальной гипертонией с метаболическими нарушениями. // Матер. тезисов к международному научному форуму «Достижения клинической фармакологии» в рамках международной медицинской выставки «Здравоохранение 99».– Москва. – 1999. С. 148 </w:t>
      </w:r>
      <w:r>
        <w:rPr>
          <w:sz w:val="24"/>
          <w:szCs w:val="24"/>
          <w:lang w:val="en-US"/>
        </w:rPr>
        <w:t>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Эффективность и переносимость Эднита у больных АГ с метаболическими нарушениями. // Матер. тезисов к международному научному форуму «Достижения клинической фармакологии» в рамках международной медицинской выставки «Здравоохранение 99».– Москва. – 1999. С. 149 </w:t>
      </w:r>
      <w:r>
        <w:rPr>
          <w:sz w:val="24"/>
          <w:szCs w:val="24"/>
          <w:lang w:val="en-US"/>
        </w:rPr>
        <w:t>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Плендил в лечении больных артериальной гипертонией с метаболическими нарушениями. // Матер. тезисов к международному научному форуму «Достижения клинической фармакологии» в рамках международной медицинской выставки «Здравоохранение 99».– Москва. – 1999. С.57 – 58 </w:t>
      </w:r>
      <w:r>
        <w:rPr>
          <w:sz w:val="24"/>
          <w:szCs w:val="24"/>
          <w:lang w:val="en-US"/>
        </w:rPr>
        <w:t>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Артериальная гипертония с метаболическими нарушениями, медикаментозная коррекция Плендилом. // Матер. тезисов к научно-практической конференции «Актуальные проблемы артериальной гипертонии». – Москва. – 1999. С. 57 - 59</w:t>
      </w:r>
      <w:r>
        <w:rPr>
          <w:sz w:val="24"/>
          <w:szCs w:val="24"/>
          <w:lang w:val="en-US"/>
        </w:rPr>
        <w:t xml:space="preserve"> (в соавт. с В.С.Задионченко).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и переносимость Эднита у больных АГ с метаболическими нарушениями. // Матер. тезисов к научно-практической конференции «Актуальные проблемы артериальной гипертонии». – Москва. – 1999. С.</w:t>
      </w:r>
      <w:r>
        <w:rPr>
          <w:sz w:val="24"/>
          <w:szCs w:val="24"/>
          <w:lang w:val="en-US"/>
        </w:rPr>
        <w:t xml:space="preserve"> 59 – 61 (в соавт. с В.С.Задионченко).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Эффективность Логимакса у больных артериальной гипертонией с метаболическими нарушениями. // Клиническая фармакология и фармакотерапия. 2000. № 4. С. 26 - 29.</w:t>
      </w:r>
      <w:r>
        <w:rPr>
          <w:sz w:val="24"/>
          <w:szCs w:val="24"/>
          <w:lang w:val="en-US"/>
        </w:rPr>
        <w:t xml:space="preserve"> 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Эднита у больных АГ с метаболическими нарушениями. // Кардиология. 2000. № 10. С. 38 – 41.</w:t>
      </w:r>
      <w:r>
        <w:rPr>
          <w:sz w:val="24"/>
          <w:szCs w:val="24"/>
          <w:lang w:val="en-US"/>
        </w:rPr>
        <w:t xml:space="preserve"> (в соавт. с В.С.Задионченко).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Эднита у больных АГ с метаболическими нарушениями. // Гедеон Рихтер в СНГ. 2000. №2. с.56.</w:t>
      </w:r>
      <w:r>
        <w:rPr>
          <w:sz w:val="24"/>
          <w:szCs w:val="24"/>
          <w:lang w:val="en-US"/>
        </w:rPr>
        <w:t xml:space="preserve"> 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эднита на качество жизни у больных артериальной гипертонией. // Матер.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Национального конгресса “Человек и лекарство.” Москва - 2000. С.- 89.</w:t>
      </w:r>
      <w:r>
        <w:rPr>
          <w:sz w:val="24"/>
          <w:szCs w:val="24"/>
          <w:lang w:val="en-US"/>
        </w:rPr>
        <w:t xml:space="preserve"> 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фелодипина на структурно-функциональное состояние сердца у больных гипертонической болезнью. // Матер. </w:t>
      </w:r>
      <w:r>
        <w:rPr>
          <w:sz w:val="24"/>
          <w:szCs w:val="24"/>
          <w:lang w:val="en-US"/>
        </w:rPr>
        <w:t>VII</w:t>
      </w:r>
      <w:r>
        <w:rPr>
          <w:sz w:val="24"/>
          <w:szCs w:val="24"/>
        </w:rPr>
        <w:t xml:space="preserve"> Национального конгресса “Человек и лекарство.” Москва - 2000. С.- 89 – 90.</w:t>
      </w:r>
      <w:r>
        <w:rPr>
          <w:sz w:val="24"/>
          <w:szCs w:val="24"/>
          <w:lang w:val="en-US"/>
        </w:rPr>
        <w:t xml:space="preserve"> (в соавт. с В.С.Задионченко).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Логимакс в терапии больных артериальной гипертонией. // М., Медицина: Клиническая монография. – 2001. - 48с. </w:t>
      </w:r>
      <w:r>
        <w:rPr>
          <w:sz w:val="24"/>
          <w:szCs w:val="24"/>
          <w:lang w:val="en-US"/>
        </w:rPr>
        <w:t>(в соавт. с В.С.Задионченко).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Метаболические аспекты гипертонической болезни, проблемы медикаментозной коррекции. // Российский Кардиологический журнал. Принято в печать </w:t>
      </w:r>
      <w:r>
        <w:rPr>
          <w:sz w:val="24"/>
          <w:szCs w:val="24"/>
          <w:lang w:val="en-US"/>
        </w:rPr>
        <w:t>(в соавт. с В.С.Задионченко).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Гипотензивная терапия у больных артериальной гипертонии с метаболическими факторами риска. // Клиническая фармакология и фармакотерапия. Принято в печать </w:t>
      </w:r>
      <w:r>
        <w:rPr>
          <w:sz w:val="24"/>
          <w:szCs w:val="24"/>
          <w:lang w:val="en-US"/>
        </w:rPr>
        <w:t>(в соавт. с В.С.Задионченко, Т.В. Адашевой, И.В. Погонченковой).</w:t>
      </w:r>
    </w:p>
    <w:p w:rsidR="00C3026C" w:rsidRDefault="00C3026C">
      <w:pPr>
        <w:keepNext/>
        <w:widowControl w:val="0"/>
        <w:numPr>
          <w:ilvl w:val="0"/>
          <w:numId w:val="1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течения артериальной гипертонии у больных с метаболическими нарушениями. // Российский Кардиологический журнал. Принято в печать </w:t>
      </w:r>
      <w:r>
        <w:rPr>
          <w:sz w:val="24"/>
          <w:szCs w:val="24"/>
          <w:lang w:val="en-US"/>
        </w:rPr>
        <w:t>(в соавт. с В.С.Задионченко, Т.В. Адашевой, И.В. Погонченковой).</w:t>
      </w:r>
      <w:bookmarkStart w:id="0" w:name="_GoBack"/>
      <w:bookmarkEnd w:id="0"/>
    </w:p>
    <w:sectPr w:rsidR="00C3026C">
      <w:footerReference w:type="default" r:id="rId15"/>
      <w:type w:val="continuous"/>
      <w:pgSz w:w="12242" w:h="15842" w:code="1"/>
      <w:pgMar w:top="851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6C" w:rsidRDefault="00C3026C">
      <w:r>
        <w:separator/>
      </w:r>
    </w:p>
  </w:endnote>
  <w:endnote w:type="continuationSeparator" w:id="0">
    <w:p w:rsidR="00C3026C" w:rsidRDefault="00C3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6C" w:rsidRDefault="009531FF">
    <w:pPr>
      <w:pStyle w:val="a4"/>
      <w:framePr w:wrap="auto" w:vAnchor="text" w:hAnchor="margin" w:xAlign="right" w:y="1"/>
      <w:rPr>
        <w:rStyle w:val="a3"/>
      </w:rPr>
    </w:pPr>
    <w:r>
      <w:rPr>
        <w:rStyle w:val="a3"/>
        <w:noProof/>
      </w:rPr>
      <w:t>5</w:t>
    </w:r>
  </w:p>
  <w:p w:rsidR="00C3026C" w:rsidRDefault="00C302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6C" w:rsidRDefault="00C3026C">
      <w:r>
        <w:separator/>
      </w:r>
    </w:p>
  </w:footnote>
  <w:footnote w:type="continuationSeparator" w:id="0">
    <w:p w:rsidR="00C3026C" w:rsidRDefault="00C30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35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6064D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A63F2C"/>
    <w:multiLevelType w:val="singleLevel"/>
    <w:tmpl w:val="2FCE575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63E78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C9233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AC7107"/>
    <w:multiLevelType w:val="singleLevel"/>
    <w:tmpl w:val="BABC44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FA167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7EF7C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C2641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D1F7F43"/>
    <w:multiLevelType w:val="singleLevel"/>
    <w:tmpl w:val="08E22F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47507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96902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9F575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CBD24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3A35B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5D886CC2"/>
    <w:multiLevelType w:val="multilevel"/>
    <w:tmpl w:val="8202E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57C0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80B41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82807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7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15"/>
  </w:num>
  <w:num w:numId="11">
    <w:abstractNumId w:val="18"/>
  </w:num>
  <w:num w:numId="12">
    <w:abstractNumId w:val="17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9"/>
  </w:num>
  <w:num w:numId="18">
    <w:abstractNumId w:val="16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1FF"/>
    <w:rsid w:val="00001272"/>
    <w:rsid w:val="00564C8B"/>
    <w:rsid w:val="009531FF"/>
    <w:rsid w:val="00C3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12C0375B-98F0-4CED-A528-47E5D283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80" w:lineRule="auto"/>
      <w:ind w:left="1134" w:right="5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pageBreakBefore/>
      <w:spacing w:line="360" w:lineRule="auto"/>
      <w:ind w:left="1134" w:right="-851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48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480" w:lineRule="auto"/>
      <w:ind w:left="1134" w:right="-851"/>
      <w:jc w:val="center"/>
      <w:outlineLvl w:val="3"/>
    </w:pPr>
    <w:rPr>
      <w:spacing w:val="20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480" w:lineRule="auto"/>
      <w:ind w:right="-851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480" w:lineRule="auto"/>
      <w:ind w:firstLine="720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 w:val="0"/>
      <w:tabs>
        <w:tab w:val="left" w:pos="1418"/>
        <w:tab w:val="left" w:pos="2268"/>
        <w:tab w:val="left" w:pos="14430"/>
      </w:tabs>
      <w:ind w:left="-42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703"/>
        <w:tab w:val="right" w:pos="9406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Block Text"/>
    <w:basedOn w:val="a"/>
    <w:uiPriority w:val="99"/>
    <w:pPr>
      <w:pageBreakBefore/>
      <w:spacing w:line="360" w:lineRule="auto"/>
      <w:ind w:left="426" w:right="-851"/>
      <w:jc w:val="center"/>
    </w:pPr>
    <w:rPr>
      <w:sz w:val="28"/>
      <w:szCs w:val="28"/>
    </w:rPr>
  </w:style>
  <w:style w:type="paragraph" w:styleId="a7">
    <w:name w:val="Body Text"/>
    <w:basedOn w:val="a"/>
    <w:link w:val="a8"/>
    <w:uiPriority w:val="99"/>
    <w:pPr>
      <w:spacing w:line="480" w:lineRule="auto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48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480" w:lineRule="auto"/>
      <w:ind w:left="1134" w:hanging="1134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keepNext/>
      <w:spacing w:line="360" w:lineRule="auto"/>
      <w:ind w:firstLine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uiPriority w:val="99"/>
    <w:qFormat/>
    <w:pPr>
      <w:tabs>
        <w:tab w:val="left" w:pos="142"/>
      </w:tabs>
      <w:spacing w:line="480" w:lineRule="auto"/>
      <w:ind w:firstLine="720"/>
      <w:jc w:val="center"/>
    </w:pPr>
    <w:rPr>
      <w:sz w:val="28"/>
      <w:szCs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ВЫВОДЫ</vt:lpstr>
    </vt:vector>
  </TitlesOfParts>
  <Company>11 ГКБ</Company>
  <LinksUpToDate>false</LinksUpToDate>
  <CharactersWithSpaces>34370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ВЫВОДЫ</dc:title>
  <dc:subject/>
  <dc:creator>Katya Lazhintseva</dc:creator>
  <cp:keywords/>
  <dc:description/>
  <cp:lastModifiedBy>admin</cp:lastModifiedBy>
  <cp:revision>2</cp:revision>
  <cp:lastPrinted>1998-06-22T09:16:00Z</cp:lastPrinted>
  <dcterms:created xsi:type="dcterms:W3CDTF">2014-02-25T05:35:00Z</dcterms:created>
  <dcterms:modified xsi:type="dcterms:W3CDTF">2014-02-25T05:35:00Z</dcterms:modified>
</cp:coreProperties>
</file>