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44A" w:rsidRDefault="00D817FA">
      <w:pPr>
        <w:jc w:val="center"/>
        <w:rPr>
          <w:sz w:val="28"/>
        </w:rPr>
      </w:pPr>
      <w:r>
        <w:rPr>
          <w:sz w:val="28"/>
        </w:rPr>
        <w:t>Министерство общего и профессионального образования РФ</w:t>
      </w:r>
    </w:p>
    <w:p w:rsidR="0001444A" w:rsidRDefault="0001444A">
      <w:pPr>
        <w:jc w:val="center"/>
        <w:rPr>
          <w:sz w:val="28"/>
        </w:rPr>
      </w:pPr>
    </w:p>
    <w:p w:rsidR="0001444A" w:rsidRDefault="00D817FA">
      <w:pPr>
        <w:jc w:val="center"/>
        <w:rPr>
          <w:sz w:val="28"/>
        </w:rPr>
      </w:pPr>
      <w:r>
        <w:rPr>
          <w:sz w:val="28"/>
        </w:rPr>
        <w:t>Самарский государственный технический университет</w:t>
      </w:r>
    </w:p>
    <w:p w:rsidR="0001444A" w:rsidRDefault="0001444A">
      <w:pPr>
        <w:jc w:val="center"/>
        <w:rPr>
          <w:sz w:val="28"/>
        </w:rPr>
      </w:pPr>
    </w:p>
    <w:p w:rsidR="0001444A" w:rsidRDefault="00D817FA">
      <w:pPr>
        <w:jc w:val="center"/>
        <w:rPr>
          <w:sz w:val="28"/>
        </w:rPr>
      </w:pPr>
      <w:r>
        <w:rPr>
          <w:sz w:val="28"/>
        </w:rPr>
        <w:t>Кафедра «Основы теоретической экономики»</w:t>
      </w:r>
    </w:p>
    <w:p w:rsidR="0001444A" w:rsidRDefault="0001444A">
      <w:pPr>
        <w:jc w:val="center"/>
      </w:pPr>
    </w:p>
    <w:p w:rsidR="0001444A" w:rsidRDefault="0001444A">
      <w:pPr>
        <w:jc w:val="center"/>
      </w:pPr>
    </w:p>
    <w:p w:rsidR="0001444A" w:rsidRDefault="0001444A">
      <w:pPr>
        <w:jc w:val="center"/>
      </w:pPr>
    </w:p>
    <w:p w:rsidR="0001444A" w:rsidRDefault="0001444A">
      <w:pPr>
        <w:jc w:val="center"/>
      </w:pPr>
    </w:p>
    <w:p w:rsidR="0001444A" w:rsidRDefault="0001444A">
      <w:pPr>
        <w:jc w:val="center"/>
      </w:pPr>
    </w:p>
    <w:p w:rsidR="0001444A" w:rsidRDefault="0001444A">
      <w:pPr>
        <w:jc w:val="center"/>
      </w:pPr>
    </w:p>
    <w:p w:rsidR="0001444A" w:rsidRDefault="0001444A">
      <w:pPr>
        <w:jc w:val="center"/>
      </w:pPr>
    </w:p>
    <w:p w:rsidR="0001444A" w:rsidRDefault="0001444A">
      <w:pPr>
        <w:jc w:val="center"/>
      </w:pPr>
    </w:p>
    <w:p w:rsidR="0001444A" w:rsidRDefault="0001444A">
      <w:pPr>
        <w:jc w:val="center"/>
      </w:pPr>
    </w:p>
    <w:p w:rsidR="0001444A" w:rsidRDefault="0001444A">
      <w:pPr>
        <w:jc w:val="center"/>
      </w:pPr>
    </w:p>
    <w:p w:rsidR="0001444A" w:rsidRDefault="00D817FA">
      <w:pPr>
        <w:jc w:val="center"/>
        <w:rPr>
          <w:sz w:val="36"/>
        </w:rPr>
      </w:pPr>
      <w:r>
        <w:rPr>
          <w:sz w:val="52"/>
        </w:rPr>
        <w:t>Реферат</w:t>
      </w:r>
    </w:p>
    <w:p w:rsidR="0001444A" w:rsidRDefault="0001444A">
      <w:pPr>
        <w:jc w:val="center"/>
        <w:rPr>
          <w:sz w:val="36"/>
        </w:rPr>
      </w:pPr>
    </w:p>
    <w:p w:rsidR="0001444A" w:rsidRDefault="00D817FA">
      <w:pPr>
        <w:jc w:val="center"/>
        <w:rPr>
          <w:b/>
          <w:sz w:val="48"/>
        </w:rPr>
      </w:pPr>
      <w:r>
        <w:rPr>
          <w:b/>
          <w:sz w:val="48"/>
        </w:rPr>
        <w:t>ОСОБЕННОСТИ ВАЛЮТНОГО РЕГУЛИРОВАНИЯ И КОНТРОЛЯ В НАЦИОНАЛЬНОЙ РОССИЙСКОЙ ЭКОНОМИКЕ</w:t>
      </w:r>
    </w:p>
    <w:p w:rsidR="0001444A" w:rsidRDefault="0001444A">
      <w:pPr>
        <w:rPr>
          <w:sz w:val="48"/>
        </w:rPr>
      </w:pPr>
    </w:p>
    <w:p w:rsidR="0001444A" w:rsidRDefault="0001444A"/>
    <w:p w:rsidR="0001444A" w:rsidRDefault="0001444A"/>
    <w:p w:rsidR="0001444A" w:rsidRDefault="0001444A"/>
    <w:p w:rsidR="0001444A" w:rsidRDefault="0001444A"/>
    <w:p w:rsidR="0001444A" w:rsidRDefault="0001444A"/>
    <w:p w:rsidR="0001444A" w:rsidRDefault="0001444A"/>
    <w:p w:rsidR="0001444A" w:rsidRDefault="0001444A"/>
    <w:p w:rsidR="0001444A" w:rsidRDefault="00D817FA">
      <w:pPr>
        <w:jc w:val="right"/>
        <w:rPr>
          <w:sz w:val="32"/>
        </w:rPr>
      </w:pPr>
      <w:r>
        <w:t xml:space="preserve">                                                                </w:t>
      </w:r>
      <w:r>
        <w:rPr>
          <w:sz w:val="32"/>
        </w:rPr>
        <w:t>Выполнил: студентка III-ИЭ-6</w:t>
      </w:r>
    </w:p>
    <w:p w:rsidR="0001444A" w:rsidRDefault="00D817FA">
      <w:pPr>
        <w:jc w:val="right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    Проверил: Латынова Н. Д.                                               </w:t>
      </w:r>
    </w:p>
    <w:p w:rsidR="0001444A" w:rsidRDefault="0001444A">
      <w:pPr>
        <w:jc w:val="right"/>
        <w:rPr>
          <w:sz w:val="32"/>
        </w:rPr>
      </w:pPr>
    </w:p>
    <w:p w:rsidR="0001444A" w:rsidRDefault="0001444A">
      <w:pPr>
        <w:rPr>
          <w:sz w:val="32"/>
        </w:rPr>
      </w:pPr>
    </w:p>
    <w:p w:rsidR="0001444A" w:rsidRDefault="0001444A">
      <w:pPr>
        <w:rPr>
          <w:sz w:val="32"/>
        </w:rPr>
      </w:pPr>
    </w:p>
    <w:p w:rsidR="0001444A" w:rsidRDefault="0001444A">
      <w:pPr>
        <w:rPr>
          <w:sz w:val="32"/>
        </w:rPr>
      </w:pPr>
    </w:p>
    <w:p w:rsidR="0001444A" w:rsidRDefault="0001444A">
      <w:pPr>
        <w:rPr>
          <w:sz w:val="32"/>
        </w:rPr>
      </w:pPr>
    </w:p>
    <w:p w:rsidR="0001444A" w:rsidRDefault="0001444A">
      <w:pPr>
        <w:rPr>
          <w:sz w:val="32"/>
        </w:rPr>
      </w:pPr>
    </w:p>
    <w:p w:rsidR="0001444A" w:rsidRDefault="0001444A">
      <w:pPr>
        <w:rPr>
          <w:sz w:val="32"/>
        </w:rPr>
      </w:pPr>
    </w:p>
    <w:p w:rsidR="0001444A" w:rsidRDefault="00D817FA">
      <w:pPr>
        <w:jc w:val="center"/>
      </w:pPr>
      <w:r>
        <w:rPr>
          <w:sz w:val="32"/>
        </w:rPr>
        <w:t>Самара,1998</w:t>
      </w:r>
    </w:p>
    <w:p w:rsidR="0001444A" w:rsidRDefault="00D817FA">
      <w:pPr>
        <w:ind w:firstLine="567"/>
        <w:jc w:val="center"/>
        <w:rPr>
          <w:sz w:val="32"/>
        </w:rPr>
      </w:pPr>
      <w:r>
        <w:rPr>
          <w:sz w:val="32"/>
        </w:rPr>
        <w:t>СОДЕРЖАНИЕ.</w:t>
      </w:r>
    </w:p>
    <w:p w:rsidR="0001444A" w:rsidRDefault="0001444A">
      <w:pPr>
        <w:ind w:firstLine="567"/>
        <w:jc w:val="center"/>
        <w:rPr>
          <w:sz w:val="32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34"/>
        <w:gridCol w:w="7360"/>
        <w:gridCol w:w="627"/>
      </w:tblGrid>
      <w:tr w:rsidR="0001444A">
        <w:tc>
          <w:tcPr>
            <w:tcW w:w="534" w:type="dxa"/>
          </w:tcPr>
          <w:p w:rsidR="0001444A" w:rsidRDefault="00D817FA">
            <w:pPr>
              <w:rPr>
                <w:sz w:val="32"/>
              </w:rPr>
            </w:pPr>
            <w:r>
              <w:rPr>
                <w:sz w:val="32"/>
              </w:rPr>
              <w:t>1.</w:t>
            </w:r>
          </w:p>
        </w:tc>
        <w:tc>
          <w:tcPr>
            <w:tcW w:w="7360" w:type="dxa"/>
          </w:tcPr>
          <w:p w:rsidR="0001444A" w:rsidRDefault="00D817FA">
            <w:pPr>
              <w:rPr>
                <w:sz w:val="32"/>
              </w:rPr>
            </w:pPr>
            <w:r>
              <w:rPr>
                <w:sz w:val="32"/>
              </w:rPr>
              <w:t>ВВЕДЕНИЕ</w:t>
            </w:r>
          </w:p>
          <w:p w:rsidR="0001444A" w:rsidRDefault="0001444A">
            <w:pPr>
              <w:rPr>
                <w:sz w:val="32"/>
              </w:rPr>
            </w:pPr>
          </w:p>
        </w:tc>
        <w:tc>
          <w:tcPr>
            <w:tcW w:w="627" w:type="dxa"/>
          </w:tcPr>
          <w:p w:rsidR="0001444A" w:rsidRDefault="00D817FA">
            <w:pPr>
              <w:jc w:val="right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01444A">
        <w:tc>
          <w:tcPr>
            <w:tcW w:w="534" w:type="dxa"/>
          </w:tcPr>
          <w:p w:rsidR="0001444A" w:rsidRDefault="00D817FA">
            <w:pPr>
              <w:rPr>
                <w:sz w:val="32"/>
              </w:rPr>
            </w:pPr>
            <w:r>
              <w:rPr>
                <w:sz w:val="32"/>
              </w:rPr>
              <w:t>2.</w:t>
            </w:r>
          </w:p>
        </w:tc>
        <w:tc>
          <w:tcPr>
            <w:tcW w:w="7360" w:type="dxa"/>
          </w:tcPr>
          <w:p w:rsidR="0001444A" w:rsidRDefault="00D817FA">
            <w:pPr>
              <w:rPr>
                <w:sz w:val="32"/>
              </w:rPr>
            </w:pPr>
            <w:r>
              <w:rPr>
                <w:sz w:val="32"/>
              </w:rPr>
              <w:t xml:space="preserve">ОБЕСПЕЧЕНИЕ СТАБИЛЬНОСТИ НА ВАЛЮТНОМ РЫНКЕ </w:t>
            </w:r>
          </w:p>
          <w:p w:rsidR="0001444A" w:rsidRDefault="0001444A">
            <w:pPr>
              <w:rPr>
                <w:sz w:val="32"/>
              </w:rPr>
            </w:pPr>
          </w:p>
          <w:p w:rsidR="0001444A" w:rsidRDefault="0001444A">
            <w:pPr>
              <w:rPr>
                <w:sz w:val="32"/>
              </w:rPr>
            </w:pPr>
          </w:p>
        </w:tc>
        <w:tc>
          <w:tcPr>
            <w:tcW w:w="627" w:type="dxa"/>
          </w:tcPr>
          <w:p w:rsidR="0001444A" w:rsidRDefault="00D817FA">
            <w:pPr>
              <w:jc w:val="right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01444A">
        <w:tc>
          <w:tcPr>
            <w:tcW w:w="534" w:type="dxa"/>
          </w:tcPr>
          <w:p w:rsidR="0001444A" w:rsidRDefault="00D817FA">
            <w:pPr>
              <w:rPr>
                <w:sz w:val="32"/>
              </w:rPr>
            </w:pPr>
            <w:r>
              <w:rPr>
                <w:sz w:val="32"/>
              </w:rPr>
              <w:t>3.</w:t>
            </w:r>
          </w:p>
        </w:tc>
        <w:tc>
          <w:tcPr>
            <w:tcW w:w="7360" w:type="dxa"/>
          </w:tcPr>
          <w:p w:rsidR="0001444A" w:rsidRDefault="00D817FA">
            <w:pPr>
              <w:rPr>
                <w:sz w:val="32"/>
              </w:rPr>
            </w:pPr>
            <w:r>
              <w:rPr>
                <w:sz w:val="32"/>
              </w:rPr>
              <w:t>ВИКТОР ГЕРАЩЕНКО О ЧРЕЗВЫЧАЙНОЙСИТУАЦИИ С ВАЛЮТОЙ</w:t>
            </w:r>
          </w:p>
          <w:p w:rsidR="0001444A" w:rsidRDefault="0001444A">
            <w:pPr>
              <w:rPr>
                <w:sz w:val="32"/>
              </w:rPr>
            </w:pPr>
          </w:p>
          <w:p w:rsidR="0001444A" w:rsidRDefault="0001444A">
            <w:pPr>
              <w:rPr>
                <w:sz w:val="32"/>
              </w:rPr>
            </w:pPr>
          </w:p>
        </w:tc>
        <w:tc>
          <w:tcPr>
            <w:tcW w:w="627" w:type="dxa"/>
          </w:tcPr>
          <w:p w:rsidR="0001444A" w:rsidRDefault="00D817FA">
            <w:pPr>
              <w:jc w:val="right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01444A">
        <w:tc>
          <w:tcPr>
            <w:tcW w:w="534" w:type="dxa"/>
          </w:tcPr>
          <w:p w:rsidR="0001444A" w:rsidRDefault="00D817FA">
            <w:pPr>
              <w:rPr>
                <w:sz w:val="32"/>
              </w:rPr>
            </w:pPr>
            <w:r>
              <w:rPr>
                <w:sz w:val="32"/>
              </w:rPr>
              <w:t>4.</w:t>
            </w:r>
          </w:p>
        </w:tc>
        <w:tc>
          <w:tcPr>
            <w:tcW w:w="7360" w:type="dxa"/>
          </w:tcPr>
          <w:p w:rsidR="0001444A" w:rsidRDefault="00D817FA">
            <w:pPr>
              <w:rPr>
                <w:sz w:val="32"/>
              </w:rPr>
            </w:pPr>
            <w:r>
              <w:rPr>
                <w:sz w:val="32"/>
              </w:rPr>
              <w:t>К СЮЖЕТУ «РОССИЙСКАЯ РЕФОРМА ПОД ДИКТОВКУ МВФ»</w:t>
            </w:r>
          </w:p>
          <w:p w:rsidR="0001444A" w:rsidRDefault="0001444A">
            <w:pPr>
              <w:rPr>
                <w:sz w:val="32"/>
              </w:rPr>
            </w:pPr>
          </w:p>
          <w:p w:rsidR="0001444A" w:rsidRDefault="0001444A">
            <w:pPr>
              <w:rPr>
                <w:sz w:val="32"/>
              </w:rPr>
            </w:pPr>
          </w:p>
        </w:tc>
        <w:tc>
          <w:tcPr>
            <w:tcW w:w="627" w:type="dxa"/>
          </w:tcPr>
          <w:p w:rsidR="0001444A" w:rsidRDefault="00D817FA">
            <w:pPr>
              <w:jc w:val="right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01444A">
        <w:tc>
          <w:tcPr>
            <w:tcW w:w="534" w:type="dxa"/>
          </w:tcPr>
          <w:p w:rsidR="0001444A" w:rsidRDefault="00D817FA">
            <w:pPr>
              <w:rPr>
                <w:sz w:val="32"/>
              </w:rPr>
            </w:pPr>
            <w:r>
              <w:rPr>
                <w:sz w:val="32"/>
              </w:rPr>
              <w:t>5.</w:t>
            </w:r>
          </w:p>
        </w:tc>
        <w:tc>
          <w:tcPr>
            <w:tcW w:w="7360" w:type="dxa"/>
          </w:tcPr>
          <w:p w:rsidR="0001444A" w:rsidRDefault="00D817FA">
            <w:pPr>
              <w:rPr>
                <w:sz w:val="32"/>
              </w:rPr>
            </w:pPr>
            <w:r>
              <w:rPr>
                <w:sz w:val="32"/>
              </w:rPr>
              <w:t>НЕКОТОРЫЕ ВОПРОСЫ ВАЛЮТНОГО РЕГУЛИРОВАНИЯ И ВАЛЮТНОГО КОНТРОЛЯ</w:t>
            </w:r>
          </w:p>
          <w:p w:rsidR="0001444A" w:rsidRDefault="0001444A">
            <w:pPr>
              <w:rPr>
                <w:sz w:val="32"/>
              </w:rPr>
            </w:pPr>
          </w:p>
        </w:tc>
        <w:tc>
          <w:tcPr>
            <w:tcW w:w="627" w:type="dxa"/>
          </w:tcPr>
          <w:p w:rsidR="0001444A" w:rsidRDefault="00D817FA">
            <w:pPr>
              <w:jc w:val="right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</w:tr>
      <w:tr w:rsidR="0001444A">
        <w:tc>
          <w:tcPr>
            <w:tcW w:w="534" w:type="dxa"/>
          </w:tcPr>
          <w:p w:rsidR="0001444A" w:rsidRDefault="00D817FA">
            <w:pPr>
              <w:rPr>
                <w:sz w:val="32"/>
              </w:rPr>
            </w:pPr>
            <w:r>
              <w:rPr>
                <w:sz w:val="32"/>
              </w:rPr>
              <w:t>6.</w:t>
            </w:r>
          </w:p>
        </w:tc>
        <w:tc>
          <w:tcPr>
            <w:tcW w:w="7360" w:type="dxa"/>
          </w:tcPr>
          <w:p w:rsidR="0001444A" w:rsidRDefault="00D817FA">
            <w:pPr>
              <w:rPr>
                <w:sz w:val="32"/>
              </w:rPr>
            </w:pPr>
            <w:r>
              <w:rPr>
                <w:sz w:val="32"/>
              </w:rPr>
              <w:t>НЕКОТОРЫЕ ВОПРОСЫ ВАЛЮТНОГО РЕГУЛИРОВАНИЯ И ВАЛЮТНОГО КОНТРОЛЯ</w:t>
            </w:r>
          </w:p>
          <w:p w:rsidR="0001444A" w:rsidRDefault="0001444A">
            <w:pPr>
              <w:rPr>
                <w:sz w:val="32"/>
              </w:rPr>
            </w:pPr>
          </w:p>
        </w:tc>
        <w:tc>
          <w:tcPr>
            <w:tcW w:w="627" w:type="dxa"/>
          </w:tcPr>
          <w:p w:rsidR="0001444A" w:rsidRDefault="00D817FA">
            <w:pPr>
              <w:jc w:val="right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</w:tr>
      <w:tr w:rsidR="0001444A">
        <w:tc>
          <w:tcPr>
            <w:tcW w:w="534" w:type="dxa"/>
          </w:tcPr>
          <w:p w:rsidR="0001444A" w:rsidRDefault="00D817FA">
            <w:pPr>
              <w:rPr>
                <w:sz w:val="32"/>
              </w:rPr>
            </w:pPr>
            <w:r>
              <w:rPr>
                <w:sz w:val="32"/>
              </w:rPr>
              <w:t>7.</w:t>
            </w:r>
          </w:p>
        </w:tc>
        <w:tc>
          <w:tcPr>
            <w:tcW w:w="7360" w:type="dxa"/>
          </w:tcPr>
          <w:p w:rsidR="0001444A" w:rsidRDefault="00D817FA">
            <w:pPr>
              <w:rPr>
                <w:sz w:val="32"/>
              </w:rPr>
            </w:pPr>
            <w:r>
              <w:rPr>
                <w:sz w:val="32"/>
              </w:rPr>
              <w:t>ЗАКЛЮЧЕНИЕ</w:t>
            </w:r>
          </w:p>
          <w:p w:rsidR="0001444A" w:rsidRDefault="0001444A">
            <w:pPr>
              <w:rPr>
                <w:sz w:val="32"/>
              </w:rPr>
            </w:pPr>
          </w:p>
        </w:tc>
        <w:tc>
          <w:tcPr>
            <w:tcW w:w="627" w:type="dxa"/>
          </w:tcPr>
          <w:p w:rsidR="0001444A" w:rsidRDefault="00D817FA">
            <w:pPr>
              <w:jc w:val="right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</w:tr>
      <w:tr w:rsidR="0001444A">
        <w:tc>
          <w:tcPr>
            <w:tcW w:w="534" w:type="dxa"/>
          </w:tcPr>
          <w:p w:rsidR="0001444A" w:rsidRDefault="00D817FA">
            <w:pPr>
              <w:rPr>
                <w:sz w:val="32"/>
              </w:rPr>
            </w:pPr>
            <w:r>
              <w:rPr>
                <w:sz w:val="32"/>
              </w:rPr>
              <w:t>8.</w:t>
            </w:r>
          </w:p>
        </w:tc>
        <w:tc>
          <w:tcPr>
            <w:tcW w:w="7360" w:type="dxa"/>
          </w:tcPr>
          <w:p w:rsidR="0001444A" w:rsidRDefault="00D817FA">
            <w:pPr>
              <w:rPr>
                <w:sz w:val="32"/>
              </w:rPr>
            </w:pPr>
            <w:r>
              <w:rPr>
                <w:sz w:val="32"/>
              </w:rPr>
              <w:t>ЛИТЕРАТУРА</w:t>
            </w:r>
          </w:p>
        </w:tc>
        <w:tc>
          <w:tcPr>
            <w:tcW w:w="627" w:type="dxa"/>
          </w:tcPr>
          <w:p w:rsidR="0001444A" w:rsidRDefault="00D817FA">
            <w:pPr>
              <w:jc w:val="right"/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</w:tr>
    </w:tbl>
    <w:p w:rsidR="0001444A" w:rsidRDefault="0001444A">
      <w:pPr>
        <w:ind w:firstLine="567"/>
        <w:jc w:val="center"/>
        <w:rPr>
          <w:sz w:val="32"/>
        </w:rPr>
      </w:pPr>
    </w:p>
    <w:p w:rsidR="0001444A" w:rsidRDefault="0001444A">
      <w:pPr>
        <w:ind w:firstLine="567"/>
        <w:jc w:val="center"/>
        <w:rPr>
          <w:sz w:val="32"/>
        </w:rPr>
      </w:pPr>
    </w:p>
    <w:p w:rsidR="0001444A" w:rsidRDefault="0001444A">
      <w:pPr>
        <w:ind w:firstLine="567"/>
        <w:jc w:val="center"/>
        <w:rPr>
          <w:sz w:val="32"/>
        </w:rPr>
      </w:pPr>
    </w:p>
    <w:p w:rsidR="0001444A" w:rsidRDefault="0001444A">
      <w:pPr>
        <w:ind w:firstLine="567"/>
        <w:jc w:val="center"/>
        <w:rPr>
          <w:sz w:val="32"/>
        </w:rPr>
      </w:pPr>
    </w:p>
    <w:p w:rsidR="0001444A" w:rsidRDefault="0001444A">
      <w:pPr>
        <w:ind w:firstLine="567"/>
        <w:jc w:val="center"/>
        <w:rPr>
          <w:sz w:val="32"/>
        </w:rPr>
      </w:pPr>
    </w:p>
    <w:p w:rsidR="0001444A" w:rsidRDefault="0001444A">
      <w:pPr>
        <w:ind w:firstLine="567"/>
        <w:jc w:val="center"/>
        <w:rPr>
          <w:sz w:val="32"/>
        </w:rPr>
      </w:pPr>
    </w:p>
    <w:p w:rsidR="0001444A" w:rsidRDefault="0001444A">
      <w:pPr>
        <w:ind w:firstLine="567"/>
        <w:jc w:val="center"/>
        <w:rPr>
          <w:sz w:val="32"/>
        </w:rPr>
      </w:pPr>
    </w:p>
    <w:p w:rsidR="0001444A" w:rsidRDefault="0001444A">
      <w:pPr>
        <w:ind w:firstLine="567"/>
        <w:jc w:val="center"/>
        <w:rPr>
          <w:sz w:val="32"/>
        </w:rPr>
      </w:pPr>
    </w:p>
    <w:p w:rsidR="0001444A" w:rsidRDefault="0001444A">
      <w:pPr>
        <w:ind w:firstLine="567"/>
        <w:jc w:val="center"/>
        <w:rPr>
          <w:sz w:val="32"/>
        </w:rPr>
      </w:pPr>
    </w:p>
    <w:p w:rsidR="0001444A" w:rsidRDefault="0001444A">
      <w:pPr>
        <w:ind w:firstLine="567"/>
        <w:jc w:val="center"/>
        <w:rPr>
          <w:sz w:val="32"/>
        </w:rPr>
      </w:pPr>
    </w:p>
    <w:p w:rsidR="0001444A" w:rsidRDefault="0001444A">
      <w:pPr>
        <w:ind w:firstLine="567"/>
        <w:jc w:val="center"/>
        <w:rPr>
          <w:sz w:val="32"/>
        </w:rPr>
      </w:pPr>
    </w:p>
    <w:p w:rsidR="0001444A" w:rsidRDefault="00D817FA">
      <w:pPr>
        <w:ind w:firstLine="567"/>
        <w:jc w:val="center"/>
        <w:rPr>
          <w:sz w:val="32"/>
        </w:rPr>
      </w:pPr>
      <w:r>
        <w:rPr>
          <w:sz w:val="32"/>
        </w:rPr>
        <w:t>ВВЕДЕНИЕ.</w:t>
      </w:r>
    </w:p>
    <w:p w:rsidR="0001444A" w:rsidRDefault="0001444A">
      <w:pPr>
        <w:ind w:firstLine="567"/>
        <w:jc w:val="center"/>
        <w:rPr>
          <w:sz w:val="32"/>
        </w:rPr>
      </w:pPr>
    </w:p>
    <w:p w:rsidR="0001444A" w:rsidRDefault="00D817FA">
      <w:pPr>
        <w:ind w:firstLine="567"/>
        <w:rPr>
          <w:sz w:val="32"/>
        </w:rPr>
      </w:pPr>
      <w:r>
        <w:rPr>
          <w:sz w:val="32"/>
        </w:rPr>
        <w:t>Последние 2 года курс рубля был заключен в «коридор» и не выходил из него. Но в августе 1998 г. ситуация резко изменилась, произошла девальвация рубля. Кризис разрушил установленный на этот год валютный коридор, вызвал резкое обесценение рубля. Политика валютного коридора в текущем году пришла в острое противоречие с меняющимися экономическими условиями как на международной арене, так и внутри страны. Недостаточная гибкость в применении этого механизма и ошибки в текущем регулировании привели к существенному завышению реального курса рубля, падению эффективности отечественного экспорта, к неоправданному расходованию валютных резервов страны на поддержание искусственно высокого обменного курса. Стремление во что бы то ни стало поддержать курс рубля на уровне, который перестал отвечать экономическим реальностям, привело к чрезмерным ограничениям в динамике денежной массы в обращении. Она перестала определяться потребностями экономики. По существу Банк России утратил возможность проведения независимой денежно-кредитной политики. После отмены валютного коридора сформировавшийся в условиях панических настроений уровень курса оказался, напротив, заниженным, чего и следовало ожидать.</w:t>
      </w:r>
    </w:p>
    <w:p w:rsidR="0001444A" w:rsidRDefault="0001444A">
      <w:pPr>
        <w:ind w:firstLine="567"/>
        <w:rPr>
          <w:sz w:val="32"/>
        </w:rPr>
      </w:pPr>
    </w:p>
    <w:p w:rsidR="0001444A" w:rsidRDefault="00D817FA">
      <w:pPr>
        <w:ind w:firstLine="567"/>
        <w:jc w:val="center"/>
        <w:rPr>
          <w:sz w:val="32"/>
        </w:rPr>
      </w:pPr>
      <w:r>
        <w:rPr>
          <w:sz w:val="32"/>
        </w:rPr>
        <w:t xml:space="preserve">ОБЕСПЕЧЕНИЕ СТАБИЛЬНОСТИ НА ВАЛЮТНОМ РЫНКЕ. </w:t>
      </w:r>
    </w:p>
    <w:p w:rsidR="0001444A" w:rsidRDefault="0001444A">
      <w:pPr>
        <w:ind w:firstLine="567"/>
        <w:jc w:val="center"/>
        <w:rPr>
          <w:sz w:val="32"/>
        </w:rPr>
      </w:pPr>
    </w:p>
    <w:p w:rsidR="0001444A" w:rsidRDefault="00D817FA">
      <w:pPr>
        <w:ind w:firstLine="567"/>
        <w:rPr>
          <w:sz w:val="32"/>
        </w:rPr>
      </w:pPr>
      <w:r>
        <w:rPr>
          <w:sz w:val="32"/>
        </w:rPr>
        <w:t>Задача стабилизации курса национальной валюты предполагает сокращение ажиотажного спроса на иностранную валюту прежде всего со стороны кредитных организаций и обеспечение необходимого объема ее предложения. В целях ослабления влияния на курс психологических, спекулятивных факторов Банк России с ! октября организовал На ММВБ специальную торговую сессию для реализации экспортной выручки. При этом приобретать валюту разрешено только для исполнения заявок импортеров, предполагающих оплату контрактов. Активно участвуя в этой сессии, Банк России сможет пополнить свои золотовалютные резервы. Таким образом, расширяются возможности по использованию экспортной выручки для накопления резервов и, соответственно, усилению курса национальной валюты.</w:t>
      </w:r>
    </w:p>
    <w:p w:rsidR="0001444A" w:rsidRDefault="00D817FA">
      <w:pPr>
        <w:ind w:firstLine="567"/>
        <w:rPr>
          <w:sz w:val="32"/>
        </w:rPr>
      </w:pPr>
      <w:r>
        <w:rPr>
          <w:sz w:val="32"/>
        </w:rPr>
        <w:t>Кроме того, особое внимание уделяется усилению контроля за своевременной и полной репатриацией валютной выручки российскими экспортерами. Банком России совместно с Государственным таможенным комитетом России (ГТК) принято решение о создании органами ГТК России и территориальными учреждениями Банка России рабочих групп для проведения проверок экспортеров и обслуживающих их уполномоченных банков и обеспечения льготных условий для экспортеров, перечисляющих валютную выручку в контрактные сроки (вместо 180 дней). Это должно способствовать увеличению поступлений в страну иностранной валюты и стабилизации ситуации на внутреннем рынке.</w:t>
      </w:r>
    </w:p>
    <w:p w:rsidR="0001444A" w:rsidRDefault="00D817FA">
      <w:pPr>
        <w:ind w:firstLine="567"/>
        <w:rPr>
          <w:sz w:val="32"/>
        </w:rPr>
      </w:pPr>
      <w:r>
        <w:rPr>
          <w:sz w:val="32"/>
        </w:rPr>
        <w:t>В настоящее время предусматривается принятие ряда нормативных актов, регламентирующих ужесточение контроля за совершением хозяйствующими субъектами операций по покупке иностранной валюты на внутреннем рынке и целевым использованием этих средств в соответствии с требованиями валютного законодательства, а также повышение действенности контроля на основе введения дополнительной схемы информационного обеспечения Банка России по операциям, связанным с поступлением валютной выручки на транзитные счета экспортеров и ее обязательной продажей на внутреннем валютном рынке.</w:t>
      </w:r>
    </w:p>
    <w:p w:rsidR="0001444A" w:rsidRDefault="00D817FA">
      <w:pPr>
        <w:ind w:firstLine="567"/>
        <w:rPr>
          <w:sz w:val="32"/>
        </w:rPr>
      </w:pPr>
      <w:r>
        <w:rPr>
          <w:sz w:val="32"/>
        </w:rPr>
        <w:t>Данные меры должны способствовать увеличению поступления в страну валютной выручки от экспорта товаров, стабилизации ситуации на внутреннем валютном рынке и созданию условий для снижения цен на импортируемые товары.</w:t>
      </w:r>
    </w:p>
    <w:p w:rsidR="0001444A" w:rsidRDefault="00D817FA">
      <w:pPr>
        <w:ind w:firstLine="567"/>
        <w:rPr>
          <w:sz w:val="32"/>
        </w:rPr>
      </w:pPr>
      <w:r>
        <w:rPr>
          <w:sz w:val="32"/>
        </w:rPr>
        <w:t>Банк России предлагает крупным банкам - операторам валютного рынка образовать пул по поддержке курса рубля. Имеется в виду, что участники пула возьмут на себя обязательства осуществлять совместно с Банком России интервенции на валютном рынке, постоянно поддерживать минимальные объемы предложения валюты и котировки. На ММВБ участники пула выступят в качестве маркет-мейкеров, при этом пул возьмет на себя консолидированное обязательство по обеспечению предложения валюты. Предоставление Банком России кредитов участникам пула обусловливается осуществлением ими с Банком России совместных действий на валютном рынке.</w:t>
      </w:r>
    </w:p>
    <w:p w:rsidR="0001444A" w:rsidRDefault="0001444A">
      <w:pPr>
        <w:ind w:firstLine="567"/>
        <w:rPr>
          <w:sz w:val="32"/>
        </w:rPr>
      </w:pPr>
    </w:p>
    <w:p w:rsidR="0001444A" w:rsidRDefault="00D817FA">
      <w:pPr>
        <w:ind w:firstLine="567"/>
        <w:jc w:val="center"/>
        <w:rPr>
          <w:sz w:val="32"/>
        </w:rPr>
      </w:pPr>
      <w:r>
        <w:rPr>
          <w:sz w:val="32"/>
        </w:rPr>
        <w:t>ВИКТОР ГЕРАЩЕНКО О ЧРЕЗВЫЧАЙНОЙ СИТУАЦИИ С ВАЛЮТОЙ.</w:t>
      </w:r>
    </w:p>
    <w:p w:rsidR="0001444A" w:rsidRDefault="0001444A">
      <w:pPr>
        <w:rPr>
          <w:sz w:val="32"/>
        </w:rPr>
      </w:pPr>
    </w:p>
    <w:p w:rsidR="0001444A" w:rsidRDefault="00D817FA">
      <w:pPr>
        <w:ind w:firstLine="567"/>
        <w:rPr>
          <w:sz w:val="32"/>
        </w:rPr>
      </w:pPr>
      <w:r>
        <w:rPr>
          <w:sz w:val="32"/>
        </w:rPr>
        <w:t>По мнению В. Геращенко, восстановление стабильной и предсказуемой динамики валютного курса рубля - одна из самых приоритетных задач программы антикризисных мер. В условиях финансового кризиса без четких курсовых ориентиров невозможно обеспечить стабилизацию ситуации в экономике и в банковской системе, сдержать рост инфляции, создать условия для притока иностранного капитала в более разумных , чем в недавнем прошлом, формах. При этом новую политику валютного курса нужно строить на основе анализа тех ошибок, которые привели к кризису.</w:t>
      </w:r>
    </w:p>
    <w:p w:rsidR="0001444A" w:rsidRDefault="00D817FA">
      <w:pPr>
        <w:ind w:firstLine="567"/>
        <w:rPr>
          <w:sz w:val="32"/>
        </w:rPr>
      </w:pPr>
      <w:r>
        <w:rPr>
          <w:sz w:val="32"/>
        </w:rPr>
        <w:t>Разрабатывая новые подходы к валютной политике и стремясь выйти на равновесный уровень валютного курса рубля, Банк России считает необходимым учитывать всю совокупность курсообразующих факторов. В первую очередь речь идет о конкурентоспособности российских экспортеров и экономически оправданной защите российских производителей на внутреннем рынке, состоянии платежного баланса, уровне официальных валютных резервов по отношению к денежной базе.</w:t>
      </w:r>
    </w:p>
    <w:p w:rsidR="0001444A" w:rsidRDefault="00D817FA">
      <w:pPr>
        <w:ind w:firstLine="567"/>
        <w:rPr>
          <w:sz w:val="32"/>
        </w:rPr>
      </w:pPr>
      <w:r>
        <w:rPr>
          <w:sz w:val="32"/>
        </w:rPr>
        <w:t>Требуются решительные действия для восстановления смежных сегментов финансового рынка, снижающих чрезмерный спрос на иностранную валюту.</w:t>
      </w:r>
    </w:p>
    <w:p w:rsidR="0001444A" w:rsidRDefault="00D817FA">
      <w:pPr>
        <w:ind w:firstLine="567"/>
        <w:rPr>
          <w:sz w:val="32"/>
        </w:rPr>
      </w:pPr>
      <w:r>
        <w:rPr>
          <w:sz w:val="32"/>
        </w:rPr>
        <w:t>В. Геращенко считает, что вряд ли возможно фиксировать курс на каком-то неизменном уровне. Это слишком уязвимая в отношении спекуляций конструкция, которая вновь может привести к диспропорциям спроса и предложения валюты и потере резервов. Курс должен складываться под воздействием соотношения спроса и предложения валюты на рынке, колеблясь вокруг равновесного значения. Это равновесное значение под воздействием фундаментальных факторов как внешнего, так и внутреннего характера может и должно меняться, и задача денежных властей должна состоять в том, чтобы обеспечить своевременную и бескризисную корректировку траектории движения курса. Присутствие Банка России на рынке должно быть строго ограниченным и нацеленным на сглаживание амплитуды курсовых колебаний, а также на защиту рубля от массированных спекулятивных атак в случае их возникновения. В этих условиях, кстати говоря, Банк России может проводить самостоятельную денежно-кредитную политику, обусловленную национальными интересами.</w:t>
      </w:r>
    </w:p>
    <w:p w:rsidR="0001444A" w:rsidRDefault="00D817FA">
      <w:pPr>
        <w:ind w:firstLine="567"/>
        <w:rPr>
          <w:sz w:val="32"/>
        </w:rPr>
      </w:pPr>
      <w:r>
        <w:rPr>
          <w:sz w:val="32"/>
        </w:rPr>
        <w:t>Для восстановления устойчивости валютного рынка принципиально важным является принятие дополнительных мер по расширению предложения иностранной валюты и ограничению спекулятивного спроса на нее. Признано необходимым ввести требование о 75%-ной продаже экспортной выручки, из которых 25% подлежат продаже в резерв Банка России. В целях ограничения спекулятивного спроса на валюту необходимо принять меры по пресечению практики закупок валюты под фиктивные импортные контракты, а также по усилению контроля за обоснованностью контрактных цен.</w:t>
      </w:r>
    </w:p>
    <w:p w:rsidR="0001444A" w:rsidRDefault="00D817FA">
      <w:pPr>
        <w:ind w:firstLine="567"/>
        <w:rPr>
          <w:sz w:val="32"/>
        </w:rPr>
      </w:pPr>
      <w:r>
        <w:rPr>
          <w:sz w:val="32"/>
        </w:rPr>
        <w:t>Опыт последнего времени показал, что преждевременная либерализация международных операций с капиталом в России привела к тому, что движение капитала в условиях международного финансового кризиса крайне негативно сказалось на федеральном бюджете России и на возможностях Банка России регулировать валютный курс. В результате пострадала и Россия, и иностранные инвесторы. В этой связи необходимо ввести разумные ограничения на движение капитала, особенно краткосрочного. С точки зрения В. Геращенко, плавающий валютный курс, позволяющий регулирующим органам не допускать искажений реального значения курса, как раз и способствует привлечению именно долгосрочного, более серьезного капитала. При этом, безусловно, все текущие операции между Россией и остальным миром должны осуществляться без ограничений.</w:t>
      </w:r>
    </w:p>
    <w:p w:rsidR="0001444A" w:rsidRDefault="0001444A">
      <w:pPr>
        <w:ind w:firstLine="567"/>
        <w:rPr>
          <w:sz w:val="32"/>
        </w:rPr>
      </w:pPr>
    </w:p>
    <w:p w:rsidR="0001444A" w:rsidRDefault="00D817FA">
      <w:pPr>
        <w:ind w:firstLine="567"/>
        <w:jc w:val="center"/>
        <w:rPr>
          <w:sz w:val="32"/>
        </w:rPr>
      </w:pPr>
      <w:r>
        <w:rPr>
          <w:sz w:val="32"/>
        </w:rPr>
        <w:t>К СЮЖЕТУ «РОССИЙСКАЯ РЕФОРМА ПОД ДИКТОВКУ МВФ».</w:t>
      </w:r>
    </w:p>
    <w:p w:rsidR="0001444A" w:rsidRDefault="0001444A">
      <w:pPr>
        <w:ind w:firstLine="567"/>
        <w:jc w:val="center"/>
        <w:rPr>
          <w:sz w:val="32"/>
        </w:rPr>
      </w:pPr>
    </w:p>
    <w:p w:rsidR="0001444A" w:rsidRDefault="00D817FA">
      <w:pPr>
        <w:ind w:firstLine="567"/>
        <w:rPr>
          <w:sz w:val="32"/>
        </w:rPr>
      </w:pPr>
      <w:r>
        <w:rPr>
          <w:sz w:val="32"/>
        </w:rPr>
        <w:t xml:space="preserve">Как известно, в России последовательно воплощается в жизнь реформационная программа Международного валютного фонда. С 1996 г. ее реализация ежегодно подтверждается появлением готовящихся специалистами МВФ, переводимых с английского на русский и подписываемых двумя соответствующими российскими должностными лицами документов: заявления Правительства и Центрального банка РФ об экономической политике России в данном году, а также приложение к заявлению. Подписание этих документов, адресуемых самому МВФ, служит обязательным условием получения от него Россией очередных траншей трехлетнего кредита общим объемом 10,2 млрд. долл. (согласно программе кредитования </w:t>
      </w:r>
      <w:r>
        <w:rPr>
          <w:sz w:val="32"/>
          <w:lang w:val="en-US"/>
        </w:rPr>
        <w:t>EFF</w:t>
      </w:r>
      <w:r>
        <w:rPr>
          <w:sz w:val="32"/>
        </w:rPr>
        <w:t>). Заключительные 2,8 млрд. долл. приходятся на 1998 г.</w:t>
      </w:r>
    </w:p>
    <w:p w:rsidR="0001444A" w:rsidRDefault="00D817FA">
      <w:pPr>
        <w:ind w:firstLine="567"/>
        <w:rPr>
          <w:sz w:val="32"/>
        </w:rPr>
      </w:pPr>
      <w:r>
        <w:rPr>
          <w:sz w:val="32"/>
        </w:rPr>
        <w:t>«Заявление Правительства Российской Федерации и Центрального банка Российской Федерации относительно экономической структурной политики на 1998 год» включает преамбулу и 4 раздела: «А. Фискальная политика и управление бюджетом», «В. Денежно-кредитная политика и обменный курс», «С. Внешний долг» и «</w:t>
      </w:r>
      <w:r>
        <w:rPr>
          <w:sz w:val="32"/>
          <w:lang w:val="en-US"/>
        </w:rPr>
        <w:t>D</w:t>
      </w:r>
      <w:r>
        <w:rPr>
          <w:sz w:val="32"/>
        </w:rPr>
        <w:t>. Структурная политика».</w:t>
      </w:r>
    </w:p>
    <w:p w:rsidR="0001444A" w:rsidRDefault="00D817FA">
      <w:pPr>
        <w:ind w:firstLine="567"/>
        <w:rPr>
          <w:sz w:val="32"/>
        </w:rPr>
      </w:pPr>
      <w:r>
        <w:rPr>
          <w:sz w:val="32"/>
        </w:rPr>
        <w:t>Раздел «В» далеко не столь традиционен, как можно было бы предположить исходя из обнародованных ЦБ России «Основных направлений единой государственной денежно-кредитной политики на 1998 год». Ритуальна лишь фраза о непредоставлении Правительству РФ прямых кредитов для финансирования консолидированного или федерального бюджетов и о политике ЦБР, «направленной на поддержание стабильного обменного курса и увеличение уровня международных ресурсов», а далее начинаются новшества. ЦБР, оказывается, воздержится от продажи иностранной валюты, «которую он мог бы предпринять в целях поддержания обменного курса, и позволит более жестким ликвидным условиям выразиться в более высокой процентной ставке».</w:t>
      </w:r>
    </w:p>
    <w:p w:rsidR="0001444A" w:rsidRDefault="00D817FA">
      <w:pPr>
        <w:ind w:firstLine="567"/>
        <w:rPr>
          <w:sz w:val="32"/>
        </w:rPr>
      </w:pPr>
      <w:r>
        <w:rPr>
          <w:sz w:val="32"/>
        </w:rPr>
        <w:t>По сути это означает: курс рубля перестанет зависеть от регулирующей функции ЦБР и будет складываться под воздействием только рыночных сил! Здесь надо отдать должное профессионалам из МВФ. Переоцененность рубля относительно доллара привела в первом квартале нынешнего года почти к нулевому (по прежним меркам) сальдо торгового баланса: вместо привычных 5 млрд. долл. «в плюсе» Россия не дотянула и до миллиарда. Нет, наверное, смысла гадать, когда доллар выскочит за отметку в 7, 13 руб. (6,2 руб. Плюс обещанные ЦБР в течение трех лет 15% колебаний). Но вполне вероятно, что это случится раньше, чем еще не так давно предполагали и в Правительстве, и в ЦБР.</w:t>
      </w:r>
    </w:p>
    <w:p w:rsidR="0001444A" w:rsidRDefault="00D817FA">
      <w:pPr>
        <w:ind w:firstLine="567"/>
        <w:rPr>
          <w:sz w:val="32"/>
        </w:rPr>
      </w:pPr>
      <w:r>
        <w:rPr>
          <w:sz w:val="32"/>
        </w:rPr>
        <w:t>Заявлено, далее, что последний воздержится от интервенций на рынке ГКО-ОФЗ, нацеленных на ограничение увеличения процентных ставок (доходности по госбумагам) «и приведет процентные ставки по своим операциям в соответствие с рыночными условиями». Решение о том, что ставка рефинансирования ЦБР теперь будет следовать за рынком, с одной стороны, означает: предприятия могут более не рассчитывать на дешевые кредиты, и все разговоры о «промышленной политике» так и останутся разговорами. С другой стороны, следует ожидать роста доходности госбумаг, а это - новые затраты по обслуживанию госдолга, не предусмотренные в бюджете.</w:t>
      </w:r>
    </w:p>
    <w:p w:rsidR="0001444A" w:rsidRDefault="00D817FA">
      <w:pPr>
        <w:ind w:firstLine="567"/>
        <w:rPr>
          <w:sz w:val="32"/>
        </w:rPr>
      </w:pPr>
      <w:r>
        <w:rPr>
          <w:sz w:val="32"/>
        </w:rPr>
        <w:t>Когда после осенне-зимних потрясений нашей финансовой системы ЦБР ушел с рынка госбумаг и поднял ставку рефинансирования, это было хоть как-то объяснимо: он сохранял ресурсы для поддержки валютного курса. Из текста же рассматриваемого раздела «Заявления...» следует, что отныне ЦБР фактически покидает оба рынка - и валютный, и гособлигаций. Это, конечно, не означает, что курс рубля рухнет в ближайшие дни. Но то, что он начнет скользить вниз ускоренными темпами, уже не вызывает сомнений.</w:t>
      </w:r>
    </w:p>
    <w:p w:rsidR="0001444A" w:rsidRDefault="00D817FA">
      <w:pPr>
        <w:ind w:firstLine="567"/>
        <w:rPr>
          <w:sz w:val="32"/>
        </w:rPr>
      </w:pPr>
      <w:r>
        <w:rPr>
          <w:sz w:val="32"/>
        </w:rPr>
        <w:t xml:space="preserve">Здесь, впрочем, следует отметить: некоторые ключевые положения анализируемого документа сформулированы столь туманно и противоречиво, что позволяют (особенно при неточностях перевода) давать практически любое толкование политики ЦБР в области обменного курса. Взять тезу, согласно коей «в случае давления на валютном рынке ЦБР воздержится от компенсации влияния продаж иностранной валюты, которую он мог бы предпринять в целях поддержания обменного курса, и позволит более жестким ликвидным условиям выразиться в более высокой процентной ставке». При некотором желании это можно понять и как отказ ЦБР от своего компенсирующего влияния на рынок именно в случае избыточного предложения валюты. Однако в предшествующей фразе сообщалось, что ЦБР обязан проводить политику, направленную на увеличение уровня международных резервов, а невыкуп избыточного предложения валюты означает как раз отказ от них. Похоже поэтому, что трактовка относительно ухода ЦБР от поддержки курса рубля ближе к истине. </w:t>
      </w:r>
    </w:p>
    <w:p w:rsidR="0001444A" w:rsidRDefault="0001444A">
      <w:pPr>
        <w:ind w:firstLine="567"/>
        <w:rPr>
          <w:sz w:val="32"/>
        </w:rPr>
      </w:pPr>
    </w:p>
    <w:p w:rsidR="0001444A" w:rsidRDefault="00D817FA">
      <w:pPr>
        <w:ind w:firstLine="567"/>
        <w:jc w:val="center"/>
        <w:rPr>
          <w:sz w:val="32"/>
        </w:rPr>
      </w:pPr>
      <w:r>
        <w:rPr>
          <w:sz w:val="32"/>
        </w:rPr>
        <w:t>НЕКОТОРЫЕ ВОПРОСЫ ВАЛЮТНОГО РЕГУЛИРОВАНИЯ И ВАЛЮТНОГО КОНТРОЛЯ.</w:t>
      </w:r>
    </w:p>
    <w:p w:rsidR="0001444A" w:rsidRDefault="0001444A">
      <w:pPr>
        <w:ind w:firstLine="567"/>
        <w:jc w:val="center"/>
        <w:rPr>
          <w:sz w:val="32"/>
        </w:rPr>
      </w:pPr>
    </w:p>
    <w:p w:rsidR="0001444A" w:rsidRDefault="00D817FA">
      <w:pPr>
        <w:ind w:firstLine="567"/>
        <w:rPr>
          <w:sz w:val="32"/>
        </w:rPr>
      </w:pPr>
      <w:r>
        <w:rPr>
          <w:sz w:val="32"/>
        </w:rPr>
        <w:t>Одной из наиболее острых и насущных проблем валютного регулирования и валютного контроля в РФ является отсутствие в действующих законодательных актах четкого и однозначного определения понятия экспорта и импорта работ и услуг.</w:t>
      </w:r>
    </w:p>
    <w:p w:rsidR="0001444A" w:rsidRDefault="00D817FA">
      <w:pPr>
        <w:ind w:firstLine="567"/>
        <w:rPr>
          <w:sz w:val="32"/>
        </w:rPr>
      </w:pPr>
      <w:r>
        <w:rPr>
          <w:sz w:val="32"/>
        </w:rPr>
        <w:t>Неурегулированность данного вопроса порождает определенные трудности при отнесении валютных операций, связанных с расчетами по такого рода сделкам, к разряду текущих либо капитальных. Это, в свою очередь, создает почву для различных трактовок и, следовательно, весьма затрудняет работу предприятий (как российских, так и зарубежных), банковских учреждений и государственных контролирующих органов. Дело в том, что, с одной стороны, в соответствии с п. 9а ст. 1 Закона Российской Федерации «О валютном регулировании и валютном контроле» операции, связанные с переводами в Российскую Федерацию и из Российской Федерации иностранной валюты для осуществления расчетов без отсрочки платежа по импорту и экспорту работ и услуг на срок до 180 дней, являются текущими, и для их проведения не требуется разрешений ЦБ РФ (в соответствии с п. 1 ст. 6 указанного Закона). Действующие в настоящее время нормативные акты Банка России также разрешают проведение расчетов в иностранной валюте по экспортно-импортным операциям в области оказания услуг и выполнения работ. С другой стороны, анализ действующего законодательства показывает, что в нем отсутствует четкая регламентация того, какая деятельность охватывается понятиями «услуги» и «работы». В частности, Федеральный закон №157-ФЗ от 13 октября 1995 г. «О государственном регулировании внешнеторговой деятельности» определяет экспорт (импорт) как вывоз (ввоз) товаров, работ и услуг, результатов интеллектуальной деятельности, в том числе исключительных прав на них с (на) таможенной территории Российской Федерации за (из-за) границу без обязательства об обратном ввозе (вывозе). К сожалению, при этом не указано место получения работ и услуг: либо только вне территории РФ, либо на территории РФ и за ее пределами. Так как в силу различия ведомственных функций и круга решаемых задач позиции контролирующих и регулирующих органов различны, в настоящее время существует несколько подходов к ответу на этот вопрос, а следовательно, к определению понятий экспорта и импорта услуг.</w:t>
      </w:r>
    </w:p>
    <w:p w:rsidR="0001444A" w:rsidRDefault="00D817FA">
      <w:pPr>
        <w:ind w:firstLine="567"/>
        <w:rPr>
          <w:sz w:val="32"/>
        </w:rPr>
      </w:pPr>
      <w:r>
        <w:rPr>
          <w:sz w:val="32"/>
        </w:rPr>
        <w:t>В действующих нормативных актах Банка России не дается определение данных понятий, так как их толкование не входит в компетенцию Банка России. Он наделен правом регулирования порядка расчетов. В настоящее время в Банке России такой порядок разрабатывается, и с его изданием отпадает целый ряд проблем, возникающих у участников внешнеэкономической деятельности и контролирующих органов. Вместе с тем ввиду того, что точное определение экспорта и импорта работ, услуг, результатов интеллектуальной деятельности затрагивает интересы государства в сферах регулирования внешнеэкономической деятельности, сбора налогов, валютной политики, необходимо конкретизировать эти понятия, данные в Законе Российской Федерации «О государственном регулировании внешнеторговой деятельности».</w:t>
      </w:r>
    </w:p>
    <w:p w:rsidR="0001444A" w:rsidRDefault="0001444A">
      <w:pPr>
        <w:ind w:firstLine="567"/>
        <w:rPr>
          <w:sz w:val="32"/>
        </w:rPr>
      </w:pPr>
    </w:p>
    <w:p w:rsidR="0001444A" w:rsidRDefault="00D817FA">
      <w:pPr>
        <w:ind w:firstLine="567"/>
        <w:jc w:val="center"/>
        <w:rPr>
          <w:sz w:val="32"/>
        </w:rPr>
      </w:pPr>
      <w:r>
        <w:rPr>
          <w:sz w:val="32"/>
        </w:rPr>
        <w:t>ИНСТИТУТ РЕЗИДЕНСТВА В МЕХАНИЗМЕ ВАЛЮТНОГО РЕГУЛИРОВАНИЯ.</w:t>
      </w:r>
    </w:p>
    <w:p w:rsidR="0001444A" w:rsidRDefault="0001444A">
      <w:pPr>
        <w:ind w:firstLine="567"/>
        <w:jc w:val="center"/>
        <w:rPr>
          <w:sz w:val="32"/>
        </w:rPr>
      </w:pPr>
    </w:p>
    <w:p w:rsidR="0001444A" w:rsidRDefault="00D817FA">
      <w:pPr>
        <w:ind w:firstLine="567"/>
        <w:rPr>
          <w:sz w:val="32"/>
        </w:rPr>
      </w:pPr>
      <w:r>
        <w:rPr>
          <w:sz w:val="32"/>
        </w:rPr>
        <w:t>Действенность применения любой правовой нормы во многом детерминируется четкостью определения круга лиц, в отношении которых она подлежит применению. Именно поэтому в праве столь пристальное внимание уделяется вопросам субъектного состава регулируемых общественных отношений.</w:t>
      </w:r>
    </w:p>
    <w:p w:rsidR="0001444A" w:rsidRDefault="00D817FA">
      <w:pPr>
        <w:ind w:firstLine="567"/>
        <w:rPr>
          <w:sz w:val="32"/>
        </w:rPr>
      </w:pPr>
      <w:r>
        <w:rPr>
          <w:sz w:val="32"/>
        </w:rPr>
        <w:t>Не является в этом смысле исключением и валютное законодательство, которое располагает собственной, весьма отличной от используемых в других областях права, классификацией субъектов, применяемой исключительно для целей валютного регулирования и контроля.</w:t>
      </w:r>
    </w:p>
    <w:p w:rsidR="0001444A" w:rsidRDefault="00D817FA">
      <w:pPr>
        <w:ind w:firstLine="567"/>
        <w:rPr>
          <w:sz w:val="32"/>
        </w:rPr>
      </w:pPr>
      <w:r>
        <w:rPr>
          <w:sz w:val="32"/>
        </w:rPr>
        <w:t>Особенную важность, определяющую практически все основные права, обязанности и ограничения деятельности хозяйствующих субъектов в сфере валютных правоотношений, имеет понятие резиденства.</w:t>
      </w:r>
    </w:p>
    <w:p w:rsidR="0001444A" w:rsidRDefault="00D817FA">
      <w:pPr>
        <w:ind w:firstLine="567"/>
        <w:rPr>
          <w:sz w:val="32"/>
        </w:rPr>
      </w:pPr>
      <w:r>
        <w:rPr>
          <w:sz w:val="32"/>
        </w:rPr>
        <w:t>В настоящее время юридическое содержание данного понятия регламентировано исключительно Законом Российской Федерации от 9 октября 1992 г. №3615-1 «О валютном регулировании и валютном контроле « (далее - ЗВРиВК).</w:t>
      </w:r>
    </w:p>
    <w:p w:rsidR="0001444A" w:rsidRDefault="00D817FA">
      <w:pPr>
        <w:ind w:firstLine="567"/>
        <w:rPr>
          <w:sz w:val="32"/>
        </w:rPr>
      </w:pPr>
      <w:r>
        <w:rPr>
          <w:sz w:val="32"/>
        </w:rPr>
        <w:t>Прежде всего следует отметить, что в действующем российском законодательстве, в том числе и в ЗВРиВК, отсутствует общетеоретическое определение «резидентов Российской Федерации», замененное законодателем определением описательным.</w:t>
      </w:r>
    </w:p>
    <w:p w:rsidR="0001444A" w:rsidRDefault="00D817FA">
      <w:pPr>
        <w:ind w:firstLine="567"/>
        <w:rPr>
          <w:sz w:val="32"/>
        </w:rPr>
      </w:pPr>
      <w:r>
        <w:rPr>
          <w:sz w:val="32"/>
        </w:rPr>
        <w:t>В соответствии с п. 5 ст. 1 ЗВРиВК в категорию резидентов входят:</w:t>
      </w:r>
    </w:p>
    <w:p w:rsidR="0001444A" w:rsidRDefault="00D817FA" w:rsidP="00D817FA">
      <w:pPr>
        <w:numPr>
          <w:ilvl w:val="0"/>
          <w:numId w:val="1"/>
        </w:numPr>
        <w:ind w:left="567" w:hanging="567"/>
        <w:rPr>
          <w:sz w:val="32"/>
        </w:rPr>
      </w:pPr>
      <w:r>
        <w:rPr>
          <w:sz w:val="32"/>
        </w:rPr>
        <w:t>Физические лица, имеющие постоянное местожительство в Российской Федерации, в том числе временно находящиеся за пределами Российской Федерации.</w:t>
      </w:r>
    </w:p>
    <w:p w:rsidR="0001444A" w:rsidRDefault="00D817FA" w:rsidP="00D817FA">
      <w:pPr>
        <w:numPr>
          <w:ilvl w:val="0"/>
          <w:numId w:val="1"/>
        </w:numPr>
        <w:ind w:left="567" w:hanging="567"/>
        <w:rPr>
          <w:sz w:val="32"/>
        </w:rPr>
      </w:pPr>
      <w:r>
        <w:rPr>
          <w:sz w:val="32"/>
        </w:rPr>
        <w:t>Юридические лица, созданные в соответствии с законодательством Российской Федерации, с местонахождением в Российской Федерации.</w:t>
      </w:r>
    </w:p>
    <w:p w:rsidR="0001444A" w:rsidRDefault="00D817FA" w:rsidP="00D817FA">
      <w:pPr>
        <w:numPr>
          <w:ilvl w:val="0"/>
          <w:numId w:val="1"/>
        </w:numPr>
        <w:ind w:left="567" w:hanging="567"/>
        <w:rPr>
          <w:sz w:val="32"/>
        </w:rPr>
      </w:pPr>
      <w:r>
        <w:rPr>
          <w:sz w:val="32"/>
        </w:rPr>
        <w:t>Предприятия и организации, не являющиеся юридическими лицами, созданные в соответствии с законодательством РФ, с местонахождением в РФ.</w:t>
      </w:r>
    </w:p>
    <w:p w:rsidR="0001444A" w:rsidRDefault="00D817FA" w:rsidP="00D817FA">
      <w:pPr>
        <w:numPr>
          <w:ilvl w:val="0"/>
          <w:numId w:val="1"/>
        </w:numPr>
        <w:ind w:left="567" w:hanging="567"/>
        <w:rPr>
          <w:sz w:val="32"/>
        </w:rPr>
      </w:pPr>
      <w:r>
        <w:rPr>
          <w:sz w:val="32"/>
        </w:rPr>
        <w:t>Дипломатические и иные официальные представительства РФ, находящиеся за ее пределами.</w:t>
      </w:r>
    </w:p>
    <w:p w:rsidR="0001444A" w:rsidRDefault="00D817FA" w:rsidP="00D817FA">
      <w:pPr>
        <w:numPr>
          <w:ilvl w:val="0"/>
          <w:numId w:val="1"/>
        </w:numPr>
        <w:ind w:left="567" w:hanging="567"/>
        <w:rPr>
          <w:sz w:val="32"/>
        </w:rPr>
      </w:pPr>
      <w:r>
        <w:rPr>
          <w:sz w:val="32"/>
        </w:rPr>
        <w:t>Находящиеся за пределами РФ филиалы и представительства резидентов, указанных в пунктах 2 и 3.</w:t>
      </w:r>
    </w:p>
    <w:p w:rsidR="0001444A" w:rsidRDefault="00D817FA">
      <w:pPr>
        <w:ind w:firstLine="567"/>
        <w:rPr>
          <w:sz w:val="32"/>
        </w:rPr>
      </w:pPr>
      <w:r>
        <w:rPr>
          <w:sz w:val="32"/>
        </w:rPr>
        <w:t>Отнесение в Законе о валютном регулировании данной группы хозяйствующих субъектов к числу резидентов не должно вводить в заблуждение относительно российских филиалов и представительств юридических лиц-резидентов. Очевидно, что таковые фактически не могут выступать в качестве самостоятельных субъектов валютных правоотношений, обладая правом действовать только от имени юридического лица на основании доверенности, выданной юридическим лицом. В отличие от филиалов и представительств, иные структурные подразделения юридических лиц-резидентов могут действовать в качестве самостоятельных субъектов валютных правоотношений, располагая признанным фактическим правом совершать валютные операции от собственного имени.</w:t>
      </w:r>
    </w:p>
    <w:p w:rsidR="0001444A" w:rsidRDefault="00D817FA">
      <w:pPr>
        <w:ind w:firstLine="567"/>
        <w:rPr>
          <w:sz w:val="32"/>
        </w:rPr>
      </w:pPr>
      <w:r>
        <w:rPr>
          <w:sz w:val="32"/>
        </w:rPr>
        <w:t>Государственные и муниципальные образования могут рассматриваться в качестве общих субъектов валютных правоотношений, а представляющие их органы - в качестве специальных субъектов, посредством действий которых у общих субъектов возникают права и обязанности в сфере общественных отношений, регламентируемых валютным законодательством.</w:t>
      </w:r>
    </w:p>
    <w:p w:rsidR="0001444A" w:rsidRDefault="00D817FA">
      <w:pPr>
        <w:ind w:firstLine="567"/>
        <w:rPr>
          <w:sz w:val="32"/>
        </w:rPr>
      </w:pPr>
      <w:r>
        <w:rPr>
          <w:sz w:val="32"/>
        </w:rPr>
        <w:t xml:space="preserve"> К нерезидентам в соответствии с российским законодательством (п. 6 ст. 1 ЗВРиВК) относятся:</w:t>
      </w:r>
    </w:p>
    <w:p w:rsidR="0001444A" w:rsidRDefault="00D817FA" w:rsidP="00D817FA">
      <w:pPr>
        <w:numPr>
          <w:ilvl w:val="0"/>
          <w:numId w:val="2"/>
        </w:numPr>
        <w:ind w:left="567" w:hanging="567"/>
        <w:rPr>
          <w:sz w:val="32"/>
        </w:rPr>
      </w:pPr>
      <w:r>
        <w:rPr>
          <w:sz w:val="32"/>
        </w:rPr>
        <w:t>Физические лица, имеющие постоянное местожительство за пределами Российской Федерации, в том числе временно находящиеся в Российской Федерации.</w:t>
      </w:r>
    </w:p>
    <w:p w:rsidR="0001444A" w:rsidRDefault="00D817FA" w:rsidP="00D817FA">
      <w:pPr>
        <w:numPr>
          <w:ilvl w:val="0"/>
          <w:numId w:val="2"/>
        </w:numPr>
        <w:ind w:left="567" w:hanging="567"/>
        <w:rPr>
          <w:sz w:val="32"/>
        </w:rPr>
      </w:pPr>
      <w:r>
        <w:rPr>
          <w:sz w:val="32"/>
        </w:rPr>
        <w:t>Юридические лица, созданные в соответствии с законодательством иностранных государств, с местонахождением за пределами Российской Федерации.</w:t>
      </w:r>
    </w:p>
    <w:p w:rsidR="0001444A" w:rsidRDefault="00D817FA" w:rsidP="00D817FA">
      <w:pPr>
        <w:numPr>
          <w:ilvl w:val="0"/>
          <w:numId w:val="2"/>
        </w:numPr>
        <w:ind w:left="567" w:hanging="567"/>
        <w:rPr>
          <w:sz w:val="32"/>
        </w:rPr>
      </w:pPr>
      <w:r>
        <w:rPr>
          <w:sz w:val="32"/>
        </w:rPr>
        <w:t>Предприятия и организации, не являющиеся юридическими лицами, созданные в соответствии с законодательством иностранных государств, с местонахождением за пределами РФ.</w:t>
      </w:r>
    </w:p>
    <w:p w:rsidR="0001444A" w:rsidRDefault="00D817FA" w:rsidP="00D817FA">
      <w:pPr>
        <w:numPr>
          <w:ilvl w:val="0"/>
          <w:numId w:val="2"/>
        </w:numPr>
        <w:ind w:left="567" w:hanging="567"/>
        <w:rPr>
          <w:sz w:val="32"/>
        </w:rPr>
      </w:pPr>
      <w:r>
        <w:rPr>
          <w:sz w:val="32"/>
        </w:rPr>
        <w:t>Находящиеся в РФ иностранные дипломатические и иные официальные представительства, а также международные организации, их филиалы и представительства.</w:t>
      </w:r>
    </w:p>
    <w:p w:rsidR="0001444A" w:rsidRDefault="00D817FA" w:rsidP="00D817FA">
      <w:pPr>
        <w:numPr>
          <w:ilvl w:val="0"/>
          <w:numId w:val="2"/>
        </w:numPr>
        <w:ind w:left="567" w:hanging="567"/>
        <w:rPr>
          <w:sz w:val="32"/>
        </w:rPr>
      </w:pPr>
      <w:r>
        <w:rPr>
          <w:sz w:val="32"/>
        </w:rPr>
        <w:t>Находящиеся в РФ филиалы и представительства нерезидентов, указанных в пунктах 2 и 3.</w:t>
      </w:r>
    </w:p>
    <w:p w:rsidR="0001444A" w:rsidRDefault="00D817FA">
      <w:pPr>
        <w:ind w:firstLine="567"/>
        <w:rPr>
          <w:sz w:val="32"/>
        </w:rPr>
      </w:pPr>
      <w:r>
        <w:rPr>
          <w:sz w:val="32"/>
        </w:rPr>
        <w:t>Интересно отметить, что установленный Законом о валютном регулировании перечень нерезидентов лишь отчасти коррелирует с перечнем иностранных инвесторов, закрепленным Законом РСФСР «Об иностранных инвестициях в РСФСР» от 4 июля 1991г., будучи значительно шире последнего. Так, в перечень иностранных инвесторов не входят иностранные предприятия и организации, не являющиеся юридическими лицами по законодательству страны официальной регистрации или местонахождения, а также находящиеся в РФ филиалы и представительства нерезидентов. С другой стороны, остается невыясненным статус иностранных государств, которые не отнесены к числу нерезидентов, однако признаются иностранными инвесторами.</w:t>
      </w:r>
    </w:p>
    <w:p w:rsidR="0001444A" w:rsidRDefault="00D817FA">
      <w:pPr>
        <w:ind w:firstLine="567"/>
        <w:rPr>
          <w:sz w:val="32"/>
        </w:rPr>
      </w:pPr>
      <w:r>
        <w:rPr>
          <w:sz w:val="32"/>
        </w:rPr>
        <w:t>Такое положение порождает весьма существенную проблему, связанную с различием в правовом статусе и валютном режиме, установленном для иностранных предприятия - неюридических лиц, а также филиалов и представительств нерезидентов, с одной стороны, и иностранных инвесторов - с другой, поскольку первые, даже в случае осуществления ими инвестиционной деятельности на территории РФ, не могут быть признаны иностранными инвесторами и, следовательно, не могут претендовать на предоставление льготы по беспрепятственному переводу за границу платежей в связи с осуществляемыми ими инвестициями, если это платежи получены в иностранной валюте (ст. 10 Закона об иностранных инвестициях).</w:t>
      </w:r>
    </w:p>
    <w:p w:rsidR="0001444A" w:rsidRDefault="00D817FA">
      <w:pPr>
        <w:ind w:firstLine="567"/>
        <w:rPr>
          <w:sz w:val="32"/>
        </w:rPr>
      </w:pPr>
      <w:r>
        <w:rPr>
          <w:sz w:val="32"/>
        </w:rPr>
        <w:t>Одновременно с вышеуказанной нормой действует и п. 3 ст. 8 ЗВРиВК, которым всем нерезидентам, независимо от наличия у них статуса иностранного инвестора, предоставлено право беспрепятственно переводить, вывозить и пересылать из РФ валютные ценности при соблюдении таможенных правил, если эти валютные ценности были ранее переведены, ввезены или пересланы в РФ или приобретены в РФ путем покупки За валюту РФ в установленном Банком России порядке и в иных случаях в соответствии с законодательством Российской Федерации. Данное правомочие, однако, не снимает заявленной проблемы, поскольку под действие оговорки об «иных случаях, предусмотренных законодательством РФ», в случае перевода полученных в иностранной валюте платежей в связи с осуществленными инвестициями попадут лишь специальные субъекты, признаваемые иностранными инвесторами по действующему законодательству, кроме случаев, когда применительно к конкретному виду валютных правоотношений правовой статус всех нерезидентов будет нормативно уравнен.</w:t>
      </w:r>
    </w:p>
    <w:p w:rsidR="0001444A" w:rsidRDefault="0001444A">
      <w:pPr>
        <w:ind w:firstLine="567"/>
        <w:rPr>
          <w:sz w:val="32"/>
        </w:rPr>
      </w:pPr>
    </w:p>
    <w:p w:rsidR="0001444A" w:rsidRDefault="00D817FA">
      <w:pPr>
        <w:ind w:firstLine="567"/>
        <w:jc w:val="center"/>
        <w:rPr>
          <w:sz w:val="32"/>
        </w:rPr>
      </w:pPr>
      <w:r>
        <w:rPr>
          <w:sz w:val="32"/>
        </w:rPr>
        <w:t>ЗАКЛЮЧЕНИЕ.</w:t>
      </w:r>
    </w:p>
    <w:p w:rsidR="0001444A" w:rsidRDefault="0001444A">
      <w:pPr>
        <w:ind w:firstLine="567"/>
        <w:rPr>
          <w:sz w:val="32"/>
        </w:rPr>
      </w:pPr>
    </w:p>
    <w:p w:rsidR="0001444A" w:rsidRDefault="00D817FA">
      <w:pPr>
        <w:ind w:firstLine="567"/>
        <w:rPr>
          <w:sz w:val="32"/>
        </w:rPr>
      </w:pPr>
      <w:r>
        <w:rPr>
          <w:sz w:val="32"/>
        </w:rPr>
        <w:t xml:space="preserve">Из факторов, способных оказывать значительное влияние на курс доллара в ближайшее время, как представляется, основным будет прекращение действия 3-х месячного моратория от 17 августа. Председатель ЦБ В. Геращенко уже заявил, что его продления после 17 ноября не будет, и, следовательно, российские банки и другие субъекты валютного рынка будут вынуждены начать выплаты по корпоративным внешним займам, договорам “РЕПО”, форвардным контрактам и иным основаниям. </w:t>
      </w:r>
    </w:p>
    <w:p w:rsidR="0001444A" w:rsidRDefault="00D817FA">
      <w:pPr>
        <w:ind w:firstLine="567"/>
        <w:rPr>
          <w:sz w:val="32"/>
        </w:rPr>
      </w:pPr>
      <w:r>
        <w:rPr>
          <w:sz w:val="32"/>
        </w:rPr>
        <w:t xml:space="preserve">Да, большинство крупнейших российских банков неплатежеспособны и не способны оказать сколь-нибудь существенного давления на валютный рынок. Однако ситуация в банковской системе в целом не столь безнадежна, многие отечественные банки имеют возможность (и желание) осуществлять свои платежи в адрес нерезидентов, что способно оказать повышательное давление на валютный рынок. </w:t>
      </w:r>
    </w:p>
    <w:p w:rsidR="0001444A" w:rsidRDefault="00D817FA">
      <w:pPr>
        <w:ind w:firstLine="567"/>
        <w:rPr>
          <w:sz w:val="32"/>
        </w:rPr>
      </w:pPr>
      <w:r>
        <w:rPr>
          <w:sz w:val="32"/>
        </w:rPr>
        <w:t xml:space="preserve"> Кроме того, необходимо учитывать и эмиссионные процессы в российской экономике. Так, уровень денежной эмиссии в 4-м квартале запланирован в размере 25 млрд. рублей, из которых 5 млрд. уже эмитированы. Этот факт также способен увеличить давление на валютном рынке и спровоцировать девальвацию национальной валюты. </w:t>
      </w:r>
    </w:p>
    <w:p w:rsidR="0001444A" w:rsidRDefault="00D817FA">
      <w:pPr>
        <w:ind w:firstLine="567"/>
        <w:rPr>
          <w:sz w:val="32"/>
        </w:rPr>
      </w:pPr>
      <w:r>
        <w:rPr>
          <w:sz w:val="32"/>
        </w:rPr>
        <w:t xml:space="preserve"> Таким образом, совокупность факторов в целом не благоприятствует российскому рублю. Однако действия Центробанка, предпринимаемые в последнее время, снижают накал страстей на валютном рынке и, хочется надеяться, способны предотвратить обвал рубля. В значительной мере дальнейшая курсовая динамика будет определяться в середине ноября, после расчетной даты исполнения форвардных контрактов и отмены моратория. Если Банку России в эти дни удастся удержать курс, то до конца года он будет стабилен и вряд ли превысит, как и предполагает ЦБ, уровень 17 – 20 рублей за доллар. </w:t>
      </w:r>
    </w:p>
    <w:p w:rsidR="0001444A" w:rsidRDefault="0001444A">
      <w:pPr>
        <w:ind w:firstLine="567"/>
        <w:rPr>
          <w:sz w:val="32"/>
        </w:rPr>
      </w:pPr>
    </w:p>
    <w:p w:rsidR="0001444A" w:rsidRDefault="0001444A">
      <w:pPr>
        <w:ind w:firstLine="567"/>
        <w:rPr>
          <w:sz w:val="32"/>
        </w:rPr>
      </w:pPr>
    </w:p>
    <w:p w:rsidR="0001444A" w:rsidRDefault="0001444A">
      <w:pPr>
        <w:ind w:firstLine="567"/>
        <w:rPr>
          <w:sz w:val="32"/>
        </w:rPr>
      </w:pPr>
    </w:p>
    <w:p w:rsidR="0001444A" w:rsidRDefault="0001444A">
      <w:pPr>
        <w:ind w:firstLine="567"/>
        <w:rPr>
          <w:sz w:val="32"/>
        </w:rPr>
      </w:pPr>
    </w:p>
    <w:p w:rsidR="0001444A" w:rsidRDefault="0001444A">
      <w:pPr>
        <w:ind w:firstLine="567"/>
        <w:rPr>
          <w:sz w:val="32"/>
        </w:rPr>
      </w:pPr>
    </w:p>
    <w:p w:rsidR="0001444A" w:rsidRDefault="0001444A">
      <w:pPr>
        <w:ind w:firstLine="567"/>
        <w:rPr>
          <w:sz w:val="32"/>
        </w:rPr>
      </w:pPr>
    </w:p>
    <w:p w:rsidR="0001444A" w:rsidRDefault="0001444A">
      <w:pPr>
        <w:ind w:firstLine="567"/>
        <w:rPr>
          <w:sz w:val="32"/>
        </w:rPr>
      </w:pPr>
    </w:p>
    <w:p w:rsidR="0001444A" w:rsidRDefault="0001444A">
      <w:pPr>
        <w:ind w:firstLine="567"/>
        <w:rPr>
          <w:sz w:val="32"/>
        </w:rPr>
      </w:pPr>
    </w:p>
    <w:p w:rsidR="0001444A" w:rsidRDefault="0001444A">
      <w:pPr>
        <w:ind w:firstLine="567"/>
        <w:rPr>
          <w:sz w:val="32"/>
        </w:rPr>
      </w:pPr>
    </w:p>
    <w:p w:rsidR="0001444A" w:rsidRDefault="0001444A">
      <w:pPr>
        <w:ind w:firstLine="567"/>
        <w:rPr>
          <w:sz w:val="32"/>
        </w:rPr>
      </w:pPr>
    </w:p>
    <w:p w:rsidR="0001444A" w:rsidRDefault="0001444A">
      <w:pPr>
        <w:ind w:firstLine="567"/>
        <w:rPr>
          <w:sz w:val="32"/>
        </w:rPr>
      </w:pPr>
    </w:p>
    <w:p w:rsidR="0001444A" w:rsidRDefault="0001444A">
      <w:pPr>
        <w:ind w:firstLine="567"/>
        <w:rPr>
          <w:sz w:val="32"/>
        </w:rPr>
      </w:pPr>
    </w:p>
    <w:p w:rsidR="0001444A" w:rsidRDefault="0001444A">
      <w:pPr>
        <w:ind w:firstLine="567"/>
        <w:rPr>
          <w:sz w:val="32"/>
        </w:rPr>
      </w:pPr>
    </w:p>
    <w:p w:rsidR="0001444A" w:rsidRDefault="0001444A">
      <w:pPr>
        <w:ind w:firstLine="567"/>
        <w:rPr>
          <w:sz w:val="32"/>
        </w:rPr>
      </w:pPr>
    </w:p>
    <w:p w:rsidR="0001444A" w:rsidRDefault="0001444A">
      <w:pPr>
        <w:ind w:firstLine="567"/>
        <w:rPr>
          <w:sz w:val="32"/>
        </w:rPr>
      </w:pPr>
    </w:p>
    <w:p w:rsidR="0001444A" w:rsidRDefault="0001444A">
      <w:pPr>
        <w:ind w:firstLine="567"/>
        <w:rPr>
          <w:sz w:val="32"/>
        </w:rPr>
      </w:pPr>
    </w:p>
    <w:p w:rsidR="0001444A" w:rsidRDefault="0001444A">
      <w:pPr>
        <w:ind w:firstLine="567"/>
        <w:rPr>
          <w:sz w:val="32"/>
        </w:rPr>
      </w:pPr>
    </w:p>
    <w:p w:rsidR="0001444A" w:rsidRDefault="0001444A">
      <w:pPr>
        <w:ind w:firstLine="567"/>
        <w:rPr>
          <w:sz w:val="32"/>
        </w:rPr>
      </w:pPr>
    </w:p>
    <w:p w:rsidR="0001444A" w:rsidRDefault="0001444A">
      <w:pPr>
        <w:ind w:firstLine="567"/>
        <w:rPr>
          <w:sz w:val="32"/>
        </w:rPr>
      </w:pPr>
    </w:p>
    <w:p w:rsidR="0001444A" w:rsidRDefault="0001444A">
      <w:pPr>
        <w:ind w:firstLine="567"/>
        <w:rPr>
          <w:sz w:val="32"/>
        </w:rPr>
      </w:pPr>
    </w:p>
    <w:p w:rsidR="0001444A" w:rsidRDefault="0001444A">
      <w:pPr>
        <w:ind w:firstLine="567"/>
        <w:rPr>
          <w:sz w:val="32"/>
        </w:rPr>
      </w:pPr>
    </w:p>
    <w:p w:rsidR="0001444A" w:rsidRDefault="0001444A">
      <w:pPr>
        <w:ind w:firstLine="567"/>
        <w:rPr>
          <w:sz w:val="32"/>
        </w:rPr>
      </w:pPr>
    </w:p>
    <w:p w:rsidR="0001444A" w:rsidRDefault="0001444A">
      <w:pPr>
        <w:ind w:firstLine="567"/>
        <w:rPr>
          <w:sz w:val="32"/>
        </w:rPr>
      </w:pPr>
    </w:p>
    <w:p w:rsidR="0001444A" w:rsidRDefault="00D817FA">
      <w:pPr>
        <w:ind w:firstLine="567"/>
        <w:jc w:val="center"/>
        <w:rPr>
          <w:sz w:val="32"/>
        </w:rPr>
      </w:pPr>
      <w:r>
        <w:rPr>
          <w:sz w:val="32"/>
        </w:rPr>
        <w:t>ЛИТЕРАТУРА.</w:t>
      </w:r>
    </w:p>
    <w:p w:rsidR="0001444A" w:rsidRDefault="0001444A">
      <w:pPr>
        <w:ind w:firstLine="567"/>
        <w:jc w:val="center"/>
        <w:rPr>
          <w:sz w:val="32"/>
        </w:rPr>
      </w:pPr>
    </w:p>
    <w:p w:rsidR="0001444A" w:rsidRDefault="00D817FA" w:rsidP="00D817FA">
      <w:pPr>
        <w:numPr>
          <w:ilvl w:val="0"/>
          <w:numId w:val="3"/>
        </w:numPr>
        <w:rPr>
          <w:sz w:val="32"/>
        </w:rPr>
      </w:pPr>
      <w:r>
        <w:rPr>
          <w:sz w:val="32"/>
        </w:rPr>
        <w:t>С. И. Лушин «О финансовой стабилизации» / «Финансы», №10, 1998</w:t>
      </w:r>
    </w:p>
    <w:p w:rsidR="0001444A" w:rsidRDefault="00D817FA" w:rsidP="00D817FA">
      <w:pPr>
        <w:numPr>
          <w:ilvl w:val="0"/>
          <w:numId w:val="3"/>
        </w:numPr>
        <w:rPr>
          <w:sz w:val="32"/>
        </w:rPr>
      </w:pPr>
      <w:r>
        <w:rPr>
          <w:sz w:val="32"/>
        </w:rPr>
        <w:t>А. Величенков «Снова к сюжету «российская реформа по диктовку МВФ» / «РЭЖ», №4, 1998</w:t>
      </w:r>
    </w:p>
    <w:p w:rsidR="0001444A" w:rsidRDefault="00D817FA" w:rsidP="00D817FA">
      <w:pPr>
        <w:numPr>
          <w:ilvl w:val="0"/>
          <w:numId w:val="3"/>
        </w:numPr>
        <w:rPr>
          <w:sz w:val="32"/>
        </w:rPr>
      </w:pPr>
      <w:r>
        <w:rPr>
          <w:sz w:val="32"/>
        </w:rPr>
        <w:t>А. В. Емелин, «Институт резидентства в механизме валютного регулирования» / «Деньги и кредит», №9, 1998</w:t>
      </w:r>
    </w:p>
    <w:p w:rsidR="0001444A" w:rsidRDefault="00D817FA" w:rsidP="00D817FA">
      <w:pPr>
        <w:numPr>
          <w:ilvl w:val="0"/>
          <w:numId w:val="3"/>
        </w:numPr>
        <w:rPr>
          <w:sz w:val="32"/>
        </w:rPr>
      </w:pPr>
      <w:r>
        <w:rPr>
          <w:sz w:val="32"/>
        </w:rPr>
        <w:t>Т. М. Баранова, Ю. П. Адаменко, И. Н. Люкевич «Некоторые вопросы валютного регулирования и валютного контроля при проведении расчетов по экспорту, импорту работ и услуг» / «Деньги и кредит», №10, 1998</w:t>
      </w:r>
    </w:p>
    <w:p w:rsidR="0001444A" w:rsidRDefault="00D817FA" w:rsidP="00D817FA">
      <w:pPr>
        <w:numPr>
          <w:ilvl w:val="0"/>
          <w:numId w:val="3"/>
        </w:numPr>
        <w:rPr>
          <w:sz w:val="32"/>
        </w:rPr>
      </w:pPr>
      <w:r>
        <w:rPr>
          <w:sz w:val="32"/>
        </w:rPr>
        <w:t>Интервью с председателем ЦБ РФ В. В. Геращенко / «Деньги и кредит», №9, 1998</w:t>
      </w:r>
    </w:p>
    <w:p w:rsidR="0001444A" w:rsidRDefault="00D817FA" w:rsidP="00D817FA">
      <w:pPr>
        <w:numPr>
          <w:ilvl w:val="0"/>
          <w:numId w:val="3"/>
        </w:numPr>
        <w:rPr>
          <w:sz w:val="32"/>
        </w:rPr>
      </w:pPr>
      <w:r>
        <w:rPr>
          <w:sz w:val="32"/>
        </w:rPr>
        <w:t>В. Симонов, А. Кухарев «Перспективы развития рынка внутреннего государственного долга России» / «Вопросы экономики, №11, 1998</w:t>
      </w:r>
      <w:bookmarkStart w:id="0" w:name="_GoBack"/>
      <w:bookmarkEnd w:id="0"/>
    </w:p>
    <w:sectPr w:rsidR="0001444A">
      <w:footerReference w:type="even" r:id="rId7"/>
      <w:footerReference w:type="default" r:id="rId8"/>
      <w:pgSz w:w="11907" w:h="16840"/>
      <w:pgMar w:top="1440" w:right="1797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44A" w:rsidRDefault="00D817FA">
      <w:r>
        <w:separator/>
      </w:r>
    </w:p>
  </w:endnote>
  <w:endnote w:type="continuationSeparator" w:id="0">
    <w:p w:rsidR="0001444A" w:rsidRDefault="00D8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44A" w:rsidRDefault="00D817F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444A" w:rsidRDefault="000144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44A" w:rsidRDefault="00D817F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01444A" w:rsidRDefault="000144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44A" w:rsidRDefault="00D817FA">
      <w:r>
        <w:separator/>
      </w:r>
    </w:p>
  </w:footnote>
  <w:footnote w:type="continuationSeparator" w:id="0">
    <w:p w:rsidR="0001444A" w:rsidRDefault="00D81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B29C3"/>
    <w:multiLevelType w:val="singleLevel"/>
    <w:tmpl w:val="1F7E861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1">
    <w:nsid w:val="2396681F"/>
    <w:multiLevelType w:val="singleLevel"/>
    <w:tmpl w:val="738C3064"/>
    <w:lvl w:ilvl="0">
      <w:start w:val="1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2">
    <w:nsid w:val="62D54C9D"/>
    <w:multiLevelType w:val="singleLevel"/>
    <w:tmpl w:val="1F7E861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7FA"/>
    <w:rsid w:val="0001444A"/>
    <w:rsid w:val="00D817FA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63DCE-53D4-44F9-A808-52ACAE57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3679</Words>
  <Characters>20975</Characters>
  <Application>Microsoft Office Word</Application>
  <DocSecurity>0</DocSecurity>
  <Lines>174</Lines>
  <Paragraphs>49</Paragraphs>
  <ScaleCrop>false</ScaleCrop>
  <Company> </Company>
  <LinksUpToDate>false</LinksUpToDate>
  <CharactersWithSpaces>24605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РФ</dc:title>
  <dc:subject/>
  <dc:creator>Ирина Прилуцкая</dc:creator>
  <cp:keywords/>
  <dc:description/>
  <cp:lastModifiedBy>admin</cp:lastModifiedBy>
  <cp:revision>2</cp:revision>
  <cp:lastPrinted>1998-12-21T16:26:00Z</cp:lastPrinted>
  <dcterms:created xsi:type="dcterms:W3CDTF">2014-02-02T18:49:00Z</dcterms:created>
  <dcterms:modified xsi:type="dcterms:W3CDTF">2014-02-02T18:49:00Z</dcterms:modified>
</cp:coreProperties>
</file>