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5C" w:rsidRPr="00AD75FC" w:rsidRDefault="00D9715C" w:rsidP="00AD75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AD75FC">
        <w:rPr>
          <w:rFonts w:ascii="Times New Roman" w:hAnsi="Times New Roman" w:cs="Times New Roman"/>
          <w:sz w:val="28"/>
          <w:szCs w:val="32"/>
        </w:rPr>
        <w:t>Министерство образования Российской Федерации</w:t>
      </w:r>
    </w:p>
    <w:p w:rsidR="00D9715C" w:rsidRPr="00AD75FC" w:rsidRDefault="00D9715C" w:rsidP="00AD75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AD75FC">
        <w:rPr>
          <w:rFonts w:ascii="Times New Roman" w:hAnsi="Times New Roman" w:cs="Times New Roman"/>
          <w:sz w:val="28"/>
          <w:szCs w:val="32"/>
        </w:rPr>
        <w:t>Пензенский Государственный Университет</w:t>
      </w:r>
    </w:p>
    <w:p w:rsidR="00D9715C" w:rsidRPr="00AD75FC" w:rsidRDefault="00D9715C" w:rsidP="00AD75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AD75FC">
        <w:rPr>
          <w:rFonts w:ascii="Times New Roman" w:hAnsi="Times New Roman" w:cs="Times New Roman"/>
          <w:sz w:val="28"/>
          <w:szCs w:val="32"/>
        </w:rPr>
        <w:t>Медицинский Институт</w:t>
      </w:r>
    </w:p>
    <w:p w:rsidR="00D9715C" w:rsidRPr="00AD75FC" w:rsidRDefault="00D9715C" w:rsidP="00AD75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D9715C" w:rsidRPr="00AD75FC" w:rsidRDefault="00D9715C" w:rsidP="00AD75FC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32"/>
        </w:rPr>
      </w:pPr>
      <w:r w:rsidRPr="00AD75FC">
        <w:rPr>
          <w:rFonts w:ascii="Times New Roman" w:hAnsi="Times New Roman" w:cs="Times New Roman"/>
          <w:sz w:val="28"/>
          <w:szCs w:val="32"/>
        </w:rPr>
        <w:t>Кафедра Хирургии</w:t>
      </w:r>
    </w:p>
    <w:p w:rsidR="00D9715C" w:rsidRPr="00AD75FC" w:rsidRDefault="00D9715C" w:rsidP="00AD75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715C" w:rsidRPr="00AD75FC" w:rsidRDefault="00D9715C" w:rsidP="00AD75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715C" w:rsidRPr="00AD75FC" w:rsidRDefault="00D9715C" w:rsidP="00AD75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15C" w:rsidRPr="00AD75FC" w:rsidRDefault="00D9715C" w:rsidP="00AD75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715C" w:rsidRPr="00AD75FC" w:rsidRDefault="00D9715C" w:rsidP="00AD75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715C" w:rsidRPr="00AD75FC" w:rsidRDefault="00AD75FC" w:rsidP="00AD75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Реферат</w:t>
      </w:r>
    </w:p>
    <w:p w:rsidR="00D9715C" w:rsidRPr="00AD75FC" w:rsidRDefault="00D9715C" w:rsidP="00AD75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AD75FC">
        <w:rPr>
          <w:rFonts w:ascii="Times New Roman" w:hAnsi="Times New Roman" w:cs="Times New Roman"/>
          <w:sz w:val="28"/>
          <w:szCs w:val="36"/>
        </w:rPr>
        <w:t>на тему:</w:t>
      </w:r>
    </w:p>
    <w:p w:rsidR="00D9715C" w:rsidRPr="00AD75FC" w:rsidRDefault="00D9715C" w:rsidP="00AD75FC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AD75FC">
        <w:rPr>
          <w:rFonts w:ascii="Times New Roman" w:hAnsi="Times New Roman" w:cs="Times New Roman"/>
          <w:sz w:val="28"/>
          <w:szCs w:val="36"/>
        </w:rPr>
        <w:t>«Острый аппендицит»</w:t>
      </w:r>
    </w:p>
    <w:p w:rsidR="00D9715C" w:rsidRPr="00AD75FC" w:rsidRDefault="00D9715C" w:rsidP="00AD75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715C" w:rsidRPr="00AD75FC" w:rsidRDefault="00D9715C" w:rsidP="00AD75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75FC" w:rsidRDefault="00AD75FC" w:rsidP="00AD75FC">
      <w:pPr>
        <w:spacing w:line="360" w:lineRule="auto"/>
        <w:ind w:firstLine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D9715C" w:rsidRPr="00AD75FC" w:rsidRDefault="00D9715C" w:rsidP="00AD75FC">
      <w:pPr>
        <w:spacing w:line="360" w:lineRule="auto"/>
        <w:ind w:firstLine="6660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Pr="00AD75F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D75FC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AD75FC" w:rsidRDefault="00AD75FC" w:rsidP="00AD75FC">
      <w:pPr>
        <w:spacing w:line="360" w:lineRule="auto"/>
        <w:ind w:firstLine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Проверил:</w:t>
      </w:r>
    </w:p>
    <w:p w:rsidR="00D9715C" w:rsidRPr="00AD75FC" w:rsidRDefault="00AD75FC" w:rsidP="00AD75FC">
      <w:pPr>
        <w:spacing w:line="360" w:lineRule="auto"/>
        <w:ind w:firstLine="6660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к.м.н., доцент</w:t>
      </w:r>
    </w:p>
    <w:p w:rsidR="00D9715C" w:rsidRPr="00AD75FC" w:rsidRDefault="00D9715C" w:rsidP="00AD75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715C" w:rsidRPr="00AD75FC" w:rsidRDefault="00D9715C" w:rsidP="00AD75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15C" w:rsidRDefault="00D9715C" w:rsidP="00AD75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5FC" w:rsidRDefault="00AD75FC" w:rsidP="00AD75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5FC" w:rsidRDefault="00AD75FC" w:rsidP="00AD75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5FC" w:rsidRPr="00AD75FC" w:rsidRDefault="00AD75FC" w:rsidP="00AD75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15C" w:rsidRPr="00AD75FC" w:rsidRDefault="00D9715C" w:rsidP="00AD75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15C" w:rsidRPr="00AD75FC" w:rsidRDefault="00D9715C" w:rsidP="00AD75FC">
      <w:pPr>
        <w:pStyle w:val="a3"/>
        <w:spacing w:line="360" w:lineRule="auto"/>
        <w:ind w:firstLine="709"/>
        <w:jc w:val="center"/>
        <w:rPr>
          <w:b/>
          <w:sz w:val="28"/>
          <w:szCs w:val="32"/>
        </w:rPr>
      </w:pPr>
      <w:r w:rsidRPr="00AD75FC">
        <w:rPr>
          <w:b/>
          <w:sz w:val="28"/>
          <w:szCs w:val="32"/>
        </w:rPr>
        <w:t>Пенза</w:t>
      </w:r>
    </w:p>
    <w:p w:rsidR="00AD75FC" w:rsidRPr="00AD75FC" w:rsidRDefault="00D9715C" w:rsidP="00AD75FC">
      <w:pPr>
        <w:pStyle w:val="a3"/>
        <w:spacing w:line="360" w:lineRule="auto"/>
        <w:ind w:firstLine="709"/>
        <w:jc w:val="center"/>
        <w:rPr>
          <w:b/>
          <w:sz w:val="28"/>
          <w:szCs w:val="32"/>
        </w:rPr>
      </w:pPr>
      <w:r w:rsidRPr="00AD75FC">
        <w:rPr>
          <w:b/>
          <w:sz w:val="28"/>
          <w:szCs w:val="32"/>
        </w:rPr>
        <w:t>2008</w:t>
      </w:r>
    </w:p>
    <w:p w:rsidR="00D9715C" w:rsidRDefault="00AD75FC" w:rsidP="00AD75FC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AD75FC">
        <w:br w:type="page"/>
      </w:r>
      <w:r w:rsidR="00D9715C" w:rsidRPr="00AD75FC">
        <w:rPr>
          <w:b/>
          <w:sz w:val="28"/>
          <w:szCs w:val="28"/>
        </w:rPr>
        <w:t>План</w:t>
      </w:r>
    </w:p>
    <w:p w:rsidR="00AD75FC" w:rsidRPr="00AD75FC" w:rsidRDefault="00AD75FC" w:rsidP="00AD75FC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D9715C" w:rsidRPr="00AD75FC" w:rsidRDefault="00D9715C" w:rsidP="00AD75FC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Введение</w:t>
      </w:r>
    </w:p>
    <w:p w:rsidR="00D9715C" w:rsidRPr="00AD75FC" w:rsidRDefault="00D5059A" w:rsidP="00AD75FC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Клиническая характеристика</w:t>
      </w:r>
    </w:p>
    <w:p w:rsidR="00D9715C" w:rsidRPr="00AD75FC" w:rsidRDefault="00D5059A" w:rsidP="00AD75FC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Аппендицит у беременных</w:t>
      </w:r>
    </w:p>
    <w:p w:rsidR="00D9715C" w:rsidRPr="00AD75FC" w:rsidRDefault="00D5059A" w:rsidP="00AD75FC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Ошибочный диагноз</w:t>
      </w:r>
    </w:p>
    <w:p w:rsidR="00D9715C" w:rsidRPr="00AD75FC" w:rsidRDefault="00D9715C" w:rsidP="00AD75FC">
      <w:pPr>
        <w:shd w:val="clear" w:color="auto" w:fill="FFFFFF"/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Литература</w:t>
      </w:r>
    </w:p>
    <w:p w:rsidR="00D9715C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15C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9715C" w:rsidRPr="00AD75FC" w:rsidSect="00AD75FC">
          <w:footerReference w:type="even" r:id="rId7"/>
          <w:pgSz w:w="11909" w:h="16834" w:code="9"/>
          <w:pgMar w:top="1134" w:right="851" w:bottom="1134" w:left="1701" w:header="720" w:footer="720" w:gutter="0"/>
          <w:cols w:space="720"/>
          <w:noEndnote/>
          <w:titlePg/>
        </w:sectPr>
      </w:pPr>
    </w:p>
    <w:p w:rsidR="00D9715C" w:rsidRDefault="00AD75F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D75FC">
        <w:rPr>
          <w:rFonts w:ascii="Times New Roman" w:hAnsi="Times New Roman" w:cs="Times New Roman"/>
          <w:b/>
          <w:sz w:val="28"/>
          <w:szCs w:val="32"/>
        </w:rPr>
        <w:t>Введение</w:t>
      </w:r>
    </w:p>
    <w:p w:rsidR="00AD75FC" w:rsidRPr="00AD75FC" w:rsidRDefault="00AD75F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D9715C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 xml:space="preserve">Аппендицит является наиболее частой причиной неотложных абдоминальных операций в США и Великобритании; он остается наиболее частой причиной экстренных вмешательств у беременных. Хотя в классических случаях диагностика аппендицита не вызывает сомнений, чаще она бывает затруднительной. Наибольшие трудности возникают у очень молодых и у самых пожилых больных, а также у беременных. В исследовании </w:t>
      </w:r>
      <w:r w:rsidRPr="00AD75FC">
        <w:rPr>
          <w:rFonts w:ascii="Times New Roman" w:hAnsi="Times New Roman" w:cs="Times New Roman"/>
          <w:sz w:val="28"/>
          <w:szCs w:val="28"/>
          <w:lang w:val="en-US"/>
        </w:rPr>
        <w:t>Jauik</w:t>
      </w:r>
      <w:r w:rsidRPr="00AD75FC">
        <w:rPr>
          <w:rFonts w:ascii="Times New Roman" w:hAnsi="Times New Roman" w:cs="Times New Roman"/>
          <w:sz w:val="28"/>
          <w:szCs w:val="28"/>
        </w:rPr>
        <w:t xml:space="preserve"> и </w:t>
      </w:r>
      <w:r w:rsidRPr="00AD75FC">
        <w:rPr>
          <w:rFonts w:ascii="Times New Roman" w:hAnsi="Times New Roman" w:cs="Times New Roman"/>
          <w:sz w:val="28"/>
          <w:szCs w:val="28"/>
          <w:lang w:val="en-US"/>
        </w:rPr>
        <w:t>Firor</w:t>
      </w:r>
      <w:r w:rsidRPr="00AD75FC">
        <w:rPr>
          <w:rFonts w:ascii="Times New Roman" w:hAnsi="Times New Roman" w:cs="Times New Roman"/>
          <w:sz w:val="28"/>
          <w:szCs w:val="28"/>
        </w:rPr>
        <w:t xml:space="preserve"> у 55 % детей в возрасте до 6 лет при операции был выявлен перфоративный аппендицит, хотя симптоматика наблюдалась лишь в течение 2 дней. В другом исследовании 92 % больных старше 80 лет имели перфоративный аппендицит; смертность составила 23 %.</w:t>
      </w:r>
    </w:p>
    <w:p w:rsidR="00D9715C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В 40 % случаев наблюдается обструкция просвета отростка, обычно фекальными массами. К другим причинным факторам обструкции относятся увеличение лимфатических узлов, застой бария, круглые черви, опухоли и гранулематозное воспаление вследствие болезни Крона. Наиболее частой опухолью является карциноидная опухоль. У пожилых больных описаны случаи аденокарциномы аппендикса. По мнению одного из авторов, наличие карциномы следует предполагать у всех больных старше 55 лет с симптомами острого аппендицита в течение 2 дней. Секреция слизи может привести к прогрессивной обструкции, венозному стазу, нарушению кровотока и бактериальной пролиферации.</w:t>
      </w:r>
    </w:p>
    <w:p w:rsidR="00D9715C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Хотя явления острого аппендицита могут исчезнуть в результате внутривенного введения антибиотиков, более вероятно развитие гангрены, а также перфорация и образование абсцесса. Осложнения абсцесса включают септицемию и образование фистул между аппендиксом и тонкой или толстой кишкой или мочевым пузырем.</w:t>
      </w:r>
    </w:p>
    <w:p w:rsid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Несмотря на применение антибиотиков и активной плазмо-замещаюшей терапии перфорация с последующим образованием абсцесса по-прежнему наблюдается очень часто. Улучшение прогноза связывают с ранней диагностикой, быстрой предоперационной подготовкой и своевременным оперативным вмешательством.</w:t>
      </w:r>
    </w:p>
    <w:p w:rsidR="00D9715C" w:rsidRDefault="00AD75FC" w:rsidP="00AD75FC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D75FC">
        <w:rPr>
          <w:rFonts w:ascii="Times New Roman" w:hAnsi="Times New Roman" w:cs="Times New Roman"/>
          <w:b/>
          <w:bCs/>
          <w:sz w:val="28"/>
          <w:szCs w:val="32"/>
        </w:rPr>
        <w:t>Клиническая характеристика</w:t>
      </w:r>
    </w:p>
    <w:p w:rsidR="00AD75FC" w:rsidRPr="00AD75FC" w:rsidRDefault="00AD75FC" w:rsidP="00AD75FC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5059A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 xml:space="preserve">Классическая картина аппендицита включает следующее: </w:t>
      </w:r>
    </w:p>
    <w:p w:rsidR="00D5059A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 xml:space="preserve">1) анорексию; </w:t>
      </w:r>
    </w:p>
    <w:p w:rsidR="00D5059A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 xml:space="preserve">2) периумбиликальные или эпигастральные спастические боли, сопровождающиеся тошнотой и рвотой; </w:t>
      </w:r>
    </w:p>
    <w:p w:rsidR="00D5059A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 xml:space="preserve">3) развитие сильной и стойкой боли, постепенно смещающейся в правый нижний квадрант живота. </w:t>
      </w:r>
    </w:p>
    <w:p w:rsidR="00D9715C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Боль может иррадиировать в тестикулы или фланки живота, особенно при ретроцервикальном расположении отростка. Такая картина наблюдается примерно у 60 % пациентов. Как правило, симптомы присутствуют менее одного дня, однако у очень молодых и самых пожилых они могут сохраняться значительно дольше. У больных старше 40 лет симптоматика аппендицита с перфорацией длится дольше, чем без перфорации. Увеличение времени с момента поступления больного до операции отмечается у пожилых и чаще ассоциируется с перфорацией.</w:t>
      </w:r>
    </w:p>
    <w:p w:rsidR="00D9715C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 xml:space="preserve">Анорексия является настолько частым симптомом аппендицита, что ее отсутствие делает диагноз спорным. Тошнота и рвота наблюдаются у </w:t>
      </w:r>
      <w:r w:rsidR="00D5059A" w:rsidRPr="00AD75FC">
        <w:rPr>
          <w:rFonts w:ascii="Times New Roman" w:hAnsi="Times New Roman" w:cs="Times New Roman"/>
          <w:sz w:val="28"/>
          <w:szCs w:val="28"/>
        </w:rPr>
        <w:t>большинства</w:t>
      </w:r>
      <w:r w:rsidRPr="00AD75FC">
        <w:rPr>
          <w:rFonts w:ascii="Times New Roman" w:hAnsi="Times New Roman" w:cs="Times New Roman"/>
          <w:sz w:val="28"/>
          <w:szCs w:val="28"/>
        </w:rPr>
        <w:t xml:space="preserve"> больных. Симптомы у 53 больных старше 40 лет с доказанным аппендицитом перечислены в </w:t>
      </w:r>
      <w:r w:rsidR="00D5059A" w:rsidRPr="00AD75FC">
        <w:rPr>
          <w:rFonts w:ascii="Times New Roman" w:hAnsi="Times New Roman" w:cs="Times New Roman"/>
          <w:sz w:val="28"/>
          <w:szCs w:val="28"/>
        </w:rPr>
        <w:t xml:space="preserve">табл. </w:t>
      </w:r>
      <w:r w:rsidRPr="00AD75FC">
        <w:rPr>
          <w:rFonts w:ascii="Times New Roman" w:hAnsi="Times New Roman" w:cs="Times New Roman"/>
          <w:sz w:val="28"/>
          <w:szCs w:val="28"/>
        </w:rPr>
        <w:t>1. В другом исследовании оценивалась прогностическая значимость признаков, симптомов и лабораторных изменений у 305 б</w:t>
      </w:r>
      <w:r w:rsidR="00D5059A" w:rsidRPr="00AD75FC">
        <w:rPr>
          <w:rFonts w:ascii="Times New Roman" w:hAnsi="Times New Roman" w:cs="Times New Roman"/>
          <w:sz w:val="28"/>
          <w:szCs w:val="28"/>
        </w:rPr>
        <w:t xml:space="preserve">ольных с аппендицитом (табл. </w:t>
      </w:r>
      <w:r w:rsidRPr="00AD75FC">
        <w:rPr>
          <w:rFonts w:ascii="Times New Roman" w:hAnsi="Times New Roman" w:cs="Times New Roman"/>
          <w:sz w:val="28"/>
          <w:szCs w:val="28"/>
        </w:rPr>
        <w:t>2).</w:t>
      </w:r>
    </w:p>
    <w:p w:rsidR="00D9715C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В ряде случаев в процессе обследования пациента болезненная область определяется непосредственно над аппендиксом.</w:t>
      </w:r>
    </w:p>
    <w:p w:rsidR="00D9715C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 xml:space="preserve">Тщательный опрос выявляет, что боль вначале имела более центральную локализацию. Хотя левосторонний аппендицит чрезвычайно редок, он может наблюдаться при </w:t>
      </w:r>
      <w:r w:rsidRPr="00AD75FC">
        <w:rPr>
          <w:rFonts w:ascii="Times New Roman" w:hAnsi="Times New Roman" w:cs="Times New Roman"/>
          <w:sz w:val="28"/>
          <w:szCs w:val="28"/>
          <w:lang w:val="en-US"/>
        </w:rPr>
        <w:t>situs</w:t>
      </w:r>
      <w:r w:rsidRPr="00AD75FC">
        <w:rPr>
          <w:rFonts w:ascii="Times New Roman" w:hAnsi="Times New Roman" w:cs="Times New Roman"/>
          <w:sz w:val="28"/>
          <w:szCs w:val="28"/>
        </w:rPr>
        <w:t xml:space="preserve"> </w:t>
      </w:r>
      <w:r w:rsidRPr="00AD75FC">
        <w:rPr>
          <w:rFonts w:ascii="Times New Roman" w:hAnsi="Times New Roman" w:cs="Times New Roman"/>
          <w:sz w:val="28"/>
          <w:szCs w:val="28"/>
          <w:lang w:val="en-US"/>
        </w:rPr>
        <w:t>inversus</w:t>
      </w:r>
      <w:r w:rsidRPr="00AD75FC">
        <w:rPr>
          <w:rFonts w:ascii="Times New Roman" w:hAnsi="Times New Roman" w:cs="Times New Roman"/>
          <w:sz w:val="28"/>
          <w:szCs w:val="28"/>
        </w:rPr>
        <w:t xml:space="preserve"> </w:t>
      </w:r>
      <w:r w:rsidRPr="00AD75FC">
        <w:rPr>
          <w:rFonts w:ascii="Times New Roman" w:hAnsi="Times New Roman" w:cs="Times New Roman"/>
          <w:sz w:val="28"/>
          <w:szCs w:val="28"/>
          <w:lang w:val="en-US"/>
        </w:rPr>
        <w:t>viscerum</w:t>
      </w:r>
      <w:r w:rsidRPr="00AD75FC">
        <w:rPr>
          <w:rFonts w:ascii="Times New Roman" w:hAnsi="Times New Roman" w:cs="Times New Roman"/>
          <w:sz w:val="28"/>
          <w:szCs w:val="28"/>
        </w:rPr>
        <w:t>, мальротации кишечника, подвижной слепой кишке или при очень длинном аппендиксе, пересекающем срединную линию.</w:t>
      </w:r>
    </w:p>
    <w:p w:rsidR="00D9715C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Анамнестические сведения о длительном периоде чередования поносов и запора могут указывать на наличие у больного дивертикулеза; в таком случае данное обострение действительно может представлять эпизод острого дивертикулита. Регионарный энтерит, конечно, может проявляться точно так же, как острый аппендицит.</w:t>
      </w:r>
    </w:p>
    <w:p w:rsidR="00D9715C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 xml:space="preserve">У женщин полный гинекологический анамнез обязателен. Ряд гинекологических осложнений может иметь проявления, аналогичные острому аппендициту, поэтому их дифференциация достаточно затруднительна. Дифференциальный диагноз включает тубоовариальный абсцесс, острый сальпингит, разрыв кисты желтого тела и эктопическую беременность. По мнению </w:t>
      </w:r>
      <w:r w:rsidRPr="00AD75FC">
        <w:rPr>
          <w:rFonts w:ascii="Times New Roman" w:hAnsi="Times New Roman" w:cs="Times New Roman"/>
          <w:sz w:val="28"/>
          <w:szCs w:val="28"/>
          <w:lang w:val="en-US"/>
        </w:rPr>
        <w:t>Lewis</w:t>
      </w:r>
      <w:r w:rsidRPr="00AD75FC">
        <w:rPr>
          <w:rFonts w:ascii="Times New Roman" w:hAnsi="Times New Roman" w:cs="Times New Roman"/>
          <w:sz w:val="28"/>
          <w:szCs w:val="28"/>
        </w:rPr>
        <w:t xml:space="preserve"> и соавт., развитие болей в первые 7 дней менструации свидетельствует о воспалительном процессе в малом тазе, тогда как их возникновение через 8 дней или позднее предполагает наличие аппендицита.</w:t>
      </w:r>
    </w:p>
    <w:p w:rsidR="00D5059A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Следует также получить урологический анамнез, так как симптомы почечной колики, пиелонефрита и цистита могут маскировать острый аппендицит. В ряде случаев, когда воспаленный аппендикс пересекает мочеточник, клиническая картина становится еще более неопределенной, поскольку в образцах мочи у таких больных обнаруживаются эритроциты, лейкоциты и даже бактерии.</w:t>
      </w:r>
    </w:p>
    <w:p w:rsidR="00D9715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Повышение температуры обычно небольшое (37,7—38,3 °С), если только отсутствует локализованный или диффузный перитонит. Лихорадка наблюдается менее чем у 50 % больных с от</w:t>
      </w:r>
      <w:r w:rsidR="00D5059A" w:rsidRPr="00AD75FC">
        <w:rPr>
          <w:rFonts w:ascii="Times New Roman" w:hAnsi="Times New Roman" w:cs="Times New Roman"/>
          <w:sz w:val="28"/>
          <w:szCs w:val="28"/>
        </w:rPr>
        <w:t>раженной болью. В обширном исследовании у детей средняя температура при аппендиците составила 38,2 °С. Подъем температуры, по-видимому, не коррелирует с наличием или отсутствием перфорации.</w:t>
      </w:r>
    </w:p>
    <w:p w:rsidR="00AD75FC" w:rsidRPr="00AD75FC" w:rsidRDefault="00AD75F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15C" w:rsidRPr="00AD75FC" w:rsidRDefault="00D5059A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 w:rsidR="00D9715C" w:rsidRPr="00AD75F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D9715C" w:rsidRPr="00AD75FC">
        <w:rPr>
          <w:rFonts w:ascii="Times New Roman" w:hAnsi="Times New Roman" w:cs="Times New Roman"/>
          <w:sz w:val="28"/>
          <w:szCs w:val="28"/>
        </w:rPr>
        <w:t>Симптомы острого аппендицита у больных старше 40 лет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1"/>
        <w:gridCol w:w="1623"/>
        <w:gridCol w:w="420"/>
      </w:tblGrid>
      <w:tr w:rsidR="00D9715C" w:rsidRPr="00AD75FC">
        <w:trPr>
          <w:trHeight w:hRule="exact" w:val="336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  <w:b/>
                <w:bCs/>
              </w:rPr>
              <w:t>Симптом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  <w:b/>
                <w:bCs/>
              </w:rPr>
              <w:t>Число больных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%</w:t>
            </w:r>
          </w:p>
        </w:tc>
      </w:tr>
      <w:tr w:rsidR="00D9715C" w:rsidRPr="00AD75FC">
        <w:trPr>
          <w:trHeight w:hRule="exact" w:val="488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 xml:space="preserve">Боли в правом нижнем квадранте </w:t>
            </w:r>
            <w:r w:rsidRPr="00AD75FC">
              <w:rPr>
                <w:rFonts w:ascii="Times New Roman" w:hAnsi="Times New Roman" w:cs="Times New Roman"/>
                <w:b/>
                <w:bCs/>
              </w:rPr>
              <w:t>(ПНК)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58</w:t>
            </w:r>
          </w:p>
        </w:tc>
      </w:tr>
      <w:tr w:rsidR="00D9715C" w:rsidRPr="00AD75FC">
        <w:trPr>
          <w:trHeight w:hRule="exact" w:val="3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Тошнота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49</w:t>
            </w:r>
          </w:p>
        </w:tc>
      </w:tr>
      <w:tr w:rsidR="00D9715C" w:rsidRPr="00AD75FC">
        <w:trPr>
          <w:trHeight w:hRule="exact" w:val="3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Рвота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45</w:t>
            </w:r>
          </w:p>
        </w:tc>
      </w:tr>
      <w:tr w:rsidR="00D9715C" w:rsidRPr="00AD75FC">
        <w:trPr>
          <w:trHeight w:hRule="exact" w:val="3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Анорексия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36</w:t>
            </w:r>
          </w:p>
        </w:tc>
      </w:tr>
      <w:tr w:rsidR="00D9715C" w:rsidRPr="00AD75FC">
        <w:trPr>
          <w:trHeight w:hRule="exact" w:val="3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Спастические абдоминальные боли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18</w:t>
            </w:r>
          </w:p>
        </w:tc>
      </w:tr>
      <w:tr w:rsidR="00D9715C" w:rsidRPr="00AD75FC">
        <w:trPr>
          <w:trHeight w:hRule="exact" w:val="3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 xml:space="preserve">Общие боли — </w:t>
            </w:r>
            <w:r w:rsidRPr="00AD75FC">
              <w:rPr>
                <w:rFonts w:ascii="Times New Roman" w:hAnsi="Times New Roman" w:cs="Times New Roman"/>
                <w:b/>
                <w:bCs/>
              </w:rPr>
              <w:t>ПНК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17</w:t>
            </w:r>
          </w:p>
        </w:tc>
      </w:tr>
      <w:tr w:rsidR="00D9715C" w:rsidRPr="00AD75FC">
        <w:trPr>
          <w:trHeight w:hRule="exact" w:val="3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 xml:space="preserve">Околопупочные боли — </w:t>
            </w:r>
            <w:r w:rsidRPr="00AD75FC">
              <w:rPr>
                <w:rFonts w:ascii="Times New Roman" w:hAnsi="Times New Roman" w:cs="Times New Roman"/>
                <w:b/>
                <w:bCs/>
              </w:rPr>
              <w:t>ПНК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11</w:t>
            </w:r>
          </w:p>
        </w:tc>
      </w:tr>
      <w:tr w:rsidR="00D9715C" w:rsidRPr="00AD75FC">
        <w:trPr>
          <w:trHeight w:hRule="exact"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Диарея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11</w:t>
            </w:r>
          </w:p>
        </w:tc>
      </w:tr>
      <w:tr w:rsidR="00D9715C" w:rsidRPr="00AD75FC">
        <w:trPr>
          <w:trHeight w:hRule="exact" w:val="3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Запор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9</w:t>
            </w:r>
          </w:p>
        </w:tc>
      </w:tr>
      <w:tr w:rsidR="00D9715C" w:rsidRPr="00AD75FC">
        <w:trPr>
          <w:trHeight w:hRule="exact" w:val="355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Лихорадка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715C" w:rsidRPr="00AD75FC" w:rsidRDefault="00D9715C" w:rsidP="00AD75FC">
            <w:pPr>
              <w:shd w:val="clear" w:color="auto" w:fill="FFFFFF"/>
              <w:spacing w:line="36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AD75FC">
              <w:rPr>
                <w:rFonts w:ascii="Times New Roman" w:hAnsi="Times New Roman" w:cs="Times New Roman"/>
              </w:rPr>
              <w:t>6</w:t>
            </w:r>
          </w:p>
        </w:tc>
      </w:tr>
    </w:tbl>
    <w:p w:rsidR="00AD75FC" w:rsidRDefault="00AD75F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715C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Прогностические факторы в диагностике аппендицита</w:t>
      </w:r>
      <w:r w:rsidR="00AD75FC">
        <w:rPr>
          <w:rFonts w:ascii="Times New Roman" w:hAnsi="Times New Roman" w:cs="Times New Roman"/>
          <w:sz w:val="28"/>
          <w:szCs w:val="28"/>
        </w:rPr>
        <w:t>:</w:t>
      </w:r>
    </w:p>
    <w:p w:rsidR="00D9715C" w:rsidRPr="00AD75FC" w:rsidRDefault="00D9715C" w:rsidP="00AD75FC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Локальная болезненность в правом нижнем квадранте</w:t>
      </w:r>
    </w:p>
    <w:p w:rsidR="00D9715C" w:rsidRPr="00AD75FC" w:rsidRDefault="00D9715C" w:rsidP="00AD75FC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Лейкоцитоз</w:t>
      </w:r>
    </w:p>
    <w:p w:rsidR="00D9715C" w:rsidRPr="00AD75FC" w:rsidRDefault="00D9715C" w:rsidP="00AD75FC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Миграция боли</w:t>
      </w:r>
    </w:p>
    <w:p w:rsidR="00D9715C" w:rsidRPr="00AD75FC" w:rsidRDefault="00D9715C" w:rsidP="00AD75FC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Сдвиг формулы крови влево</w:t>
      </w:r>
    </w:p>
    <w:p w:rsidR="00D9715C" w:rsidRPr="00AD75FC" w:rsidRDefault="00D9715C" w:rsidP="00AD75FC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Повышение температуры</w:t>
      </w:r>
    </w:p>
    <w:p w:rsidR="00D9715C" w:rsidRPr="00AD75FC" w:rsidRDefault="00D9715C" w:rsidP="00AD75FC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Тошнота/рвота</w:t>
      </w:r>
    </w:p>
    <w:p w:rsidR="00D9715C" w:rsidRPr="00AD75FC" w:rsidRDefault="00D9715C" w:rsidP="00AD75FC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Анорексия/ацетон</w:t>
      </w:r>
    </w:p>
    <w:p w:rsidR="00D9715C" w:rsidRPr="00AD75FC" w:rsidRDefault="00D9715C" w:rsidP="00AD75FC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Отраженные боли</w:t>
      </w:r>
    </w:p>
    <w:p w:rsidR="00D9715C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Боль в правом нижнем квадранте живота чаще всего присутствует при неперфорированном аппендиците или в случаях локализованного перитонита. Однако болезненность в этой области может также наблюдать</w:t>
      </w:r>
      <w:r w:rsidR="00D5059A" w:rsidRPr="00AD75FC">
        <w:rPr>
          <w:rFonts w:ascii="Times New Roman" w:hAnsi="Times New Roman" w:cs="Times New Roman"/>
          <w:sz w:val="28"/>
          <w:szCs w:val="28"/>
        </w:rPr>
        <w:t>ся при сальпингите, мезентериче</w:t>
      </w:r>
      <w:r w:rsidRPr="00AD75FC">
        <w:rPr>
          <w:rFonts w:ascii="Times New Roman" w:hAnsi="Times New Roman" w:cs="Times New Roman"/>
          <w:sz w:val="28"/>
          <w:szCs w:val="28"/>
        </w:rPr>
        <w:t>ском адените, гастроэнтерите или даже при неспецифических абдоминальных болях. Последующее развитие диффузной болезненности свидетельствует о возникновении перфорации и наличии генерализованного перитонита.</w:t>
      </w:r>
    </w:p>
    <w:p w:rsidR="00D9715C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 xml:space="preserve">Возникновение болезненности в правом нижнем квадранте (там, где оно определяется) четко свидетельствует об остром аппендиците. Однако если ее нет, диагноз не отвергается. В исследовании </w:t>
      </w:r>
      <w:r w:rsidRPr="00AD75FC">
        <w:rPr>
          <w:rFonts w:ascii="Times New Roman" w:hAnsi="Times New Roman" w:cs="Times New Roman"/>
          <w:sz w:val="28"/>
          <w:szCs w:val="28"/>
          <w:lang w:val="en-US"/>
        </w:rPr>
        <w:t>Lewis</w:t>
      </w:r>
      <w:r w:rsidRPr="00AD75FC">
        <w:rPr>
          <w:rFonts w:ascii="Times New Roman" w:hAnsi="Times New Roman" w:cs="Times New Roman"/>
          <w:sz w:val="28"/>
          <w:szCs w:val="28"/>
        </w:rPr>
        <w:t xml:space="preserve"> и соавт. аналогичная болезненность наблюдалась у 48 % больных без острого аппендицита. Специфический диагноз у этих больных не был поставлен, однако в большинстве случаев отмечены воспалительные заболевания органов малого таза.</w:t>
      </w:r>
    </w:p>
    <w:p w:rsidR="00D9715C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При длительном существовании острого аппендицита возможно развитие непроходимости. В таких случаях перистальтика кишечника снижена или отсутствует. Однако оценка перистальтики кишечника мало способствует диагностике аппендицита, за исключением случаев выявления обструктивного поражения.</w:t>
      </w:r>
    </w:p>
    <w:p w:rsidR="00D9715C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 xml:space="preserve">Ректальное исследование должно проводиться у всех больных, а у женщин, кроме того, исследование органов малого таза. При ретроцекальной или тазовой локализации аппендикса пальпация живота может быть безболезненной. Болезненность в соответствующей области при ректальном или гинекологическом исследовании способствует установлению диагноза, хотя она не патогномонична для острого аппендицита. </w:t>
      </w:r>
      <w:r w:rsidRPr="00AD75FC">
        <w:rPr>
          <w:rFonts w:ascii="Times New Roman" w:hAnsi="Times New Roman" w:cs="Times New Roman"/>
          <w:sz w:val="28"/>
          <w:szCs w:val="28"/>
          <w:lang w:val="en-US"/>
        </w:rPr>
        <w:t>Lewis</w:t>
      </w:r>
      <w:r w:rsidRPr="00AD75FC">
        <w:rPr>
          <w:rFonts w:ascii="Times New Roman" w:hAnsi="Times New Roman" w:cs="Times New Roman"/>
          <w:sz w:val="28"/>
          <w:szCs w:val="28"/>
        </w:rPr>
        <w:t xml:space="preserve"> и соавт. отметили ректальную болезненность у 45—60 % больных независимо от диагноза. На наличие абсцесса в малом тазе указывает пальпируемое образование при ректальном или гинекологическом исследовании.</w:t>
      </w:r>
    </w:p>
    <w:p w:rsidR="00D9715C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Болезненная шейка матки — классический симптом при наличии воспалительного процесса в малом тазе — может наблюдаться при остром аппендиците при его тесном прилегании к мочеточнику, яичникам или трубам.</w:t>
      </w:r>
    </w:p>
    <w:p w:rsidR="00D9715C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Как правило, определяется лейкоцитоз с максимальным увеличением числа лейкоцитов при перфорации (около 18 000). Лейкоцитоз сам по себе не патогномоничен для диагноза аппендицита. У большинства больных отмечается сдвиг формулы влево даже при невысоком числе лейкоцитов.</w:t>
      </w:r>
    </w:p>
    <w:p w:rsidR="00D9715C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Обязателен анализ мочи, поскольку у больных с инфекцией мочевыводящих путей (особенно с пиелонефритом) может наблюдаться клиническая картина, аналогичная острому аппендициту, в том числе болезненность внизу живота. При пересечении отростком мочеточника пиурия и гематурия могут наблюдаться и в отсутствие инфекции, поэтому лабораторные данные следует оценивать с учетом клинической картины.</w:t>
      </w:r>
    </w:p>
    <w:p w:rsidR="00D9715C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Рентгенограммы органов брюшной полости и грудной клетки, хотя они часто производятся, мало способствуют установлению диагноза; они более полезны в выявлении заболеваний, симулирующих острый аппендицит. Рентгеноскопия позволяет исключить обструкцию тонкой кишки или наличие камней в мочевыводящих путях. Неспецифичные находки при остром аппендиците включают следующее: раздутые петли кишечника в правом нижнем квадранте; смазанность тени правой ягодичной мышцы, особенно при перфорации; сколиоз с изгибом вправо; воздух в аппендиксе или пузырьки газа в правом нижнем квадранте; скопление жидкости между толстой кишкой и фланками живота. Кальцификация аппендикса выявляется у 50 % детей и 10 % взрослых с</w:t>
      </w:r>
      <w:r w:rsidR="00D5059A" w:rsidRPr="00AD75FC">
        <w:rPr>
          <w:rFonts w:ascii="Times New Roman" w:hAnsi="Times New Roman" w:cs="Times New Roman"/>
          <w:sz w:val="28"/>
          <w:szCs w:val="28"/>
        </w:rPr>
        <w:t xml:space="preserve"> острым аппендицитом</w:t>
      </w:r>
      <w:r w:rsidRPr="00AD75FC">
        <w:rPr>
          <w:rFonts w:ascii="Times New Roman" w:hAnsi="Times New Roman" w:cs="Times New Roman"/>
          <w:sz w:val="28"/>
          <w:szCs w:val="28"/>
        </w:rPr>
        <w:t>.</w:t>
      </w:r>
    </w:p>
    <w:p w:rsidR="00D9715C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При спорном диагнозе необходимо исследование с заполнением аппендикулярного отростка барием. Незаполненный аппендикс предположительно указывает на наличие острого аппендицита, однако возможны и исключения, поскольку не во всех случаях аппендицит сопровождается обструкцией его просвета. Перфорация может привести к опорожнению просвета и ретроградному заполнению отростка. Иногда наблюдается частичное заполнение гангренозного отростка; частичное заполнение очень длинного воспаленного отростка может расцениваться как нормальная рентгенологическая картина.</w:t>
      </w:r>
    </w:p>
    <w:p w:rsid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Ультразвуковое исследование органов брюшной полости полезно в качестве дополнительного метода дифференциальной диагностики; оно позволяет выявить новообразования в правом нижнем квадранте или в малом тазе. Оно целесообразно также у женщин, поскольку помогает отличить аппендицит от тубоовариального абсцесса или эктопической беременности.</w:t>
      </w:r>
    </w:p>
    <w:p w:rsidR="00D9715C" w:rsidRDefault="00AD75FC" w:rsidP="00AD75FC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9715C" w:rsidRPr="00AD75FC">
        <w:rPr>
          <w:rFonts w:ascii="Times New Roman" w:hAnsi="Times New Roman" w:cs="Times New Roman"/>
          <w:b/>
          <w:bCs/>
          <w:sz w:val="28"/>
          <w:szCs w:val="32"/>
        </w:rPr>
        <w:t>АППЕНДИЦИТ У БЕРЕМЕННЫХ</w:t>
      </w:r>
    </w:p>
    <w:p w:rsidR="00AD75FC" w:rsidRPr="00AD75FC" w:rsidRDefault="00AD75FC" w:rsidP="00AD75FC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 xml:space="preserve">Острый аппендицит у беременных труден для диагностики. По мере развития беременности отросток отодвигается выше и латеральнее. Следовательно, зоны максимальной болезненности, как и область наибольшей боли, сдвигаются из правого нижнего квадранта в более субкостальную (справа) позицию. Они могут вовлекать всю правую половину живота. Напряжение живота может быть минимальным или отсутствует. </w:t>
      </w:r>
      <w:r w:rsidRPr="00AD75FC">
        <w:rPr>
          <w:rFonts w:ascii="Times New Roman" w:hAnsi="Times New Roman" w:cs="Times New Roman"/>
          <w:sz w:val="28"/>
          <w:szCs w:val="28"/>
          <w:lang w:val="en-US"/>
        </w:rPr>
        <w:t>Gomez</w:t>
      </w:r>
      <w:r w:rsidRPr="00AD75FC">
        <w:rPr>
          <w:rFonts w:ascii="Times New Roman" w:hAnsi="Times New Roman" w:cs="Times New Roman"/>
          <w:sz w:val="28"/>
          <w:szCs w:val="28"/>
        </w:rPr>
        <w:t xml:space="preserve"> отмечает, что 88 % его пациенток имели соответствующую симптоматику менее суток. Наиболее часто наблюдались тошнота, рвота и анорексия. У большинства пациенток определялась болезненность в правом нижнем квадранте. Хотя в этом исследовании нет данных о смертности плода, по другим сообщениям, она составляет 8 %; при наличии перитонита смертность достигает 30 %. Острый аппендицит чаше всего возникает во </w:t>
      </w:r>
      <w:r w:rsidRPr="00AD75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D75FC">
        <w:rPr>
          <w:rFonts w:ascii="Times New Roman" w:hAnsi="Times New Roman" w:cs="Times New Roman"/>
          <w:sz w:val="28"/>
          <w:szCs w:val="28"/>
        </w:rPr>
        <w:t xml:space="preserve"> триместре беременности. Беременность не является противопоказанием для операции.</w:t>
      </w:r>
    </w:p>
    <w:p w:rsidR="00D9715C" w:rsidRDefault="00AD75F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5059A" w:rsidRPr="00AD75FC">
        <w:rPr>
          <w:rFonts w:ascii="Times New Roman" w:hAnsi="Times New Roman" w:cs="Times New Roman"/>
          <w:b/>
          <w:bCs/>
          <w:sz w:val="28"/>
          <w:szCs w:val="32"/>
        </w:rPr>
        <w:t xml:space="preserve">3. </w:t>
      </w:r>
      <w:r w:rsidR="00D9715C" w:rsidRPr="00AD75FC">
        <w:rPr>
          <w:rFonts w:ascii="Times New Roman" w:hAnsi="Times New Roman" w:cs="Times New Roman"/>
          <w:b/>
          <w:bCs/>
          <w:sz w:val="28"/>
          <w:szCs w:val="32"/>
        </w:rPr>
        <w:t>О</w:t>
      </w:r>
      <w:r w:rsidR="00D5059A" w:rsidRPr="00AD75FC">
        <w:rPr>
          <w:rFonts w:ascii="Times New Roman" w:hAnsi="Times New Roman" w:cs="Times New Roman"/>
          <w:b/>
          <w:bCs/>
          <w:sz w:val="28"/>
          <w:szCs w:val="32"/>
        </w:rPr>
        <w:t>ШИБОЧНЫЙ ДИАГНОЗ</w:t>
      </w:r>
    </w:p>
    <w:p w:rsidR="00AD75FC" w:rsidRPr="00AD75FC" w:rsidRDefault="00AD75F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15C" w:rsidRPr="00AD75FC" w:rsidRDefault="00D9715C" w:rsidP="00AD75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 xml:space="preserve">В тех случаях, когда при обследовании обнаруживается неизмененный аппендикулярный отросток, наиболее частыми диагнозами могут быть мезаденит, гастроэнтерит, неспецифические абдоминальные боли или острое гинекологическое осложнение. В исследовании </w:t>
      </w:r>
      <w:r w:rsidRPr="00AD75FC">
        <w:rPr>
          <w:rFonts w:ascii="Times New Roman" w:hAnsi="Times New Roman" w:cs="Times New Roman"/>
          <w:sz w:val="28"/>
          <w:szCs w:val="28"/>
          <w:lang w:val="en-US"/>
        </w:rPr>
        <w:t>Lewis</w:t>
      </w:r>
      <w:r w:rsidRPr="00AD75FC">
        <w:rPr>
          <w:rFonts w:ascii="Times New Roman" w:hAnsi="Times New Roman" w:cs="Times New Roman"/>
          <w:sz w:val="28"/>
          <w:szCs w:val="28"/>
        </w:rPr>
        <w:t xml:space="preserve"> ошибочный диагноз в подобной ситуации был поставлен у '/з женщин и </w:t>
      </w:r>
      <w:r w:rsidRPr="00AD75F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D75FC">
        <w:rPr>
          <w:rFonts w:ascii="Times New Roman" w:hAnsi="Times New Roman" w:cs="Times New Roman"/>
          <w:sz w:val="28"/>
          <w:szCs w:val="28"/>
        </w:rPr>
        <w:t>/з мужчин. Развитие заболевания указывало на острый аппендицит, однако при пальпации болезненность не была достаточно четко локализована в правом нижнем квадранте</w:t>
      </w:r>
      <w:r w:rsidR="002C1E78">
        <w:rPr>
          <w:rFonts w:ascii="Times New Roman" w:hAnsi="Times New Roman" w:cs="Times New Roman"/>
          <w:sz w:val="28"/>
          <w:szCs w:val="28"/>
        </w:rPr>
        <w:t>,</w:t>
      </w:r>
      <w:r w:rsidRPr="00AD75FC">
        <w:rPr>
          <w:rFonts w:ascii="Times New Roman" w:hAnsi="Times New Roman" w:cs="Times New Roman"/>
          <w:sz w:val="28"/>
          <w:szCs w:val="28"/>
        </w:rPr>
        <w:t xml:space="preserve"> и ее возобновление наблюдалось не часто.</w:t>
      </w:r>
    </w:p>
    <w:p w:rsidR="002C1E78" w:rsidRDefault="00D9715C" w:rsidP="00AD75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Очень часто не диагностируется воспалительное заболевание органов малого таза. Продолжительность симптоматики в этом случае обычно больше, чем при остром аппендиците, тошнота и рвота наблюдаются редко, а анорексия часто отсутствует. Клинические признаки и лабораторные данные обычно малоинформативны для дифференциальной диагностики, если отсутствует болезненность в нижних квадрантах с обеих сторон и(или) болезненность при смещении шейки матки.</w:t>
      </w:r>
    </w:p>
    <w:p w:rsidR="00D5059A" w:rsidRDefault="002C1E78" w:rsidP="002C1E7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D75FC">
        <w:rPr>
          <w:rFonts w:ascii="Times New Roman" w:hAnsi="Times New Roman" w:cs="Times New Roman"/>
          <w:b/>
          <w:sz w:val="28"/>
          <w:szCs w:val="32"/>
        </w:rPr>
        <w:t>Литература</w:t>
      </w:r>
    </w:p>
    <w:p w:rsidR="002C1E78" w:rsidRPr="002C1E78" w:rsidRDefault="002C1E78" w:rsidP="002C1E7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59A" w:rsidRPr="00AD75FC" w:rsidRDefault="00D5059A" w:rsidP="002C1E78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D75FC">
        <w:rPr>
          <w:rFonts w:ascii="Times New Roman" w:hAnsi="Times New Roman"/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AD75FC">
        <w:rPr>
          <w:rFonts w:ascii="Times New Roman" w:hAnsi="Times New Roman" w:cs="Times New Roman"/>
          <w:iCs/>
          <w:sz w:val="28"/>
          <w:szCs w:val="28"/>
        </w:rPr>
        <w:t>Перевод с английского д-ра мед. наук В.И.</w:t>
      </w:r>
      <w:r w:rsidR="002C1E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D75FC">
        <w:rPr>
          <w:rFonts w:ascii="Times New Roman" w:hAnsi="Times New Roman" w:cs="Times New Roman"/>
          <w:iCs/>
          <w:sz w:val="28"/>
          <w:szCs w:val="28"/>
        </w:rPr>
        <w:t>Кандрора,</w:t>
      </w:r>
      <w:r w:rsidRPr="00AD75FC">
        <w:rPr>
          <w:rFonts w:ascii="Times New Roman" w:hAnsi="Times New Roman"/>
          <w:sz w:val="28"/>
        </w:rPr>
        <w:t xml:space="preserve"> </w:t>
      </w:r>
      <w:r w:rsidRPr="00AD75FC">
        <w:rPr>
          <w:rFonts w:ascii="Times New Roman" w:hAnsi="Times New Roman" w:cs="Times New Roman"/>
          <w:iCs/>
          <w:sz w:val="28"/>
          <w:szCs w:val="28"/>
        </w:rPr>
        <w:t>д. м. н. М.В.Неверовой, д-ра мед. наук А.В.</w:t>
      </w:r>
      <w:r w:rsidR="002C1E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D75FC">
        <w:rPr>
          <w:rFonts w:ascii="Times New Roman" w:hAnsi="Times New Roman" w:cs="Times New Roman"/>
          <w:iCs/>
          <w:sz w:val="28"/>
          <w:szCs w:val="28"/>
        </w:rPr>
        <w:t>Сучкова,</w:t>
      </w:r>
      <w:r w:rsidRPr="00AD75FC">
        <w:rPr>
          <w:rFonts w:ascii="Times New Roman" w:hAnsi="Times New Roman"/>
          <w:sz w:val="28"/>
        </w:rPr>
        <w:t xml:space="preserve"> </w:t>
      </w:r>
      <w:r w:rsidRPr="00AD75FC">
        <w:rPr>
          <w:rFonts w:ascii="Times New Roman" w:hAnsi="Times New Roman" w:cs="Times New Roman"/>
          <w:iCs/>
          <w:sz w:val="28"/>
          <w:szCs w:val="28"/>
        </w:rPr>
        <w:t>к. м. н. А.В.</w:t>
      </w:r>
      <w:r w:rsidR="002C1E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D75FC">
        <w:rPr>
          <w:rFonts w:ascii="Times New Roman" w:hAnsi="Times New Roman" w:cs="Times New Roman"/>
          <w:iCs/>
          <w:sz w:val="28"/>
          <w:szCs w:val="28"/>
        </w:rPr>
        <w:t>Низового, Ю.Л.</w:t>
      </w:r>
      <w:r w:rsidR="002C1E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D75FC">
        <w:rPr>
          <w:rFonts w:ascii="Times New Roman" w:hAnsi="Times New Roman" w:cs="Times New Roman"/>
          <w:iCs/>
          <w:sz w:val="28"/>
          <w:szCs w:val="28"/>
        </w:rPr>
        <w:t>Амченкова; под ред. Д.м.н. В.Т. Ивашкина, Д.М.Н. П.Г. Брюсова; Москва «Медицина» 2001</w:t>
      </w:r>
    </w:p>
    <w:p w:rsidR="00D5059A" w:rsidRPr="002C1E78" w:rsidRDefault="00D5059A" w:rsidP="002C1E78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D75FC">
        <w:rPr>
          <w:rFonts w:ascii="Times New Roman" w:hAnsi="Times New Roman" w:cs="Times New Roman"/>
          <w:sz w:val="28"/>
          <w:szCs w:val="28"/>
        </w:rPr>
        <w:t>Внутренние болезни Елисеев, 1999 год</w:t>
      </w:r>
      <w:bookmarkStart w:id="0" w:name="_GoBack"/>
      <w:bookmarkEnd w:id="0"/>
    </w:p>
    <w:sectPr w:rsidR="00D5059A" w:rsidRPr="002C1E78" w:rsidSect="00AD75FC"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D79" w:rsidRDefault="00387D79">
      <w:r>
        <w:separator/>
      </w:r>
    </w:p>
  </w:endnote>
  <w:endnote w:type="continuationSeparator" w:id="0">
    <w:p w:rsidR="00387D79" w:rsidRDefault="0038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9A" w:rsidRDefault="00D5059A" w:rsidP="00E24CA1">
    <w:pPr>
      <w:pStyle w:val="a4"/>
      <w:framePr w:wrap="around" w:vAnchor="text" w:hAnchor="margin" w:xAlign="right" w:y="1"/>
      <w:rPr>
        <w:rStyle w:val="a6"/>
        <w:rFonts w:cs="Arial"/>
      </w:rPr>
    </w:pPr>
  </w:p>
  <w:p w:rsidR="00D5059A" w:rsidRDefault="00D5059A" w:rsidP="00D5059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D79" w:rsidRDefault="00387D79">
      <w:r>
        <w:separator/>
      </w:r>
    </w:p>
  </w:footnote>
  <w:footnote w:type="continuationSeparator" w:id="0">
    <w:p w:rsidR="00387D79" w:rsidRDefault="00387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A8224E"/>
    <w:multiLevelType w:val="hybridMultilevel"/>
    <w:tmpl w:val="69DC7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FF7335"/>
    <w:multiLevelType w:val="hybridMultilevel"/>
    <w:tmpl w:val="421ED9EC"/>
    <w:lvl w:ilvl="0" w:tplc="59FED5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4315EBE"/>
    <w:multiLevelType w:val="hybridMultilevel"/>
    <w:tmpl w:val="BEB23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15C"/>
    <w:rsid w:val="00035BDB"/>
    <w:rsid w:val="002C1E78"/>
    <w:rsid w:val="00387D79"/>
    <w:rsid w:val="009B77CC"/>
    <w:rsid w:val="00AD75FC"/>
    <w:rsid w:val="00D5059A"/>
    <w:rsid w:val="00D9715C"/>
    <w:rsid w:val="00E24CA1"/>
    <w:rsid w:val="00E7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12211D-228E-460B-8C64-8CC1E876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D9715C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D9715C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D5059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  <w:sz w:val="20"/>
      <w:szCs w:val="20"/>
    </w:rPr>
  </w:style>
  <w:style w:type="character" w:styleId="a6">
    <w:name w:val="page number"/>
    <w:uiPriority w:val="99"/>
    <w:rsid w:val="00D5059A"/>
    <w:rPr>
      <w:rFonts w:cs="Times New Roman"/>
    </w:rPr>
  </w:style>
  <w:style w:type="paragraph" w:styleId="a7">
    <w:name w:val="header"/>
    <w:basedOn w:val="a"/>
    <w:link w:val="a8"/>
    <w:uiPriority w:val="99"/>
    <w:rsid w:val="00AD75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2014-02-25T06:04:00Z</dcterms:created>
  <dcterms:modified xsi:type="dcterms:W3CDTF">2014-02-25T06:04:00Z</dcterms:modified>
</cp:coreProperties>
</file>