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0D" w:rsidRPr="00905F0D" w:rsidRDefault="00891AB0" w:rsidP="00905F0D">
      <w:pPr>
        <w:pStyle w:val="2"/>
        <w:rPr>
          <w:kern w:val="28"/>
        </w:rPr>
      </w:pPr>
      <w:r w:rsidRPr="00905F0D">
        <w:rPr>
          <w:kern w:val="28"/>
        </w:rPr>
        <w:t>Осуществление расчетов при экспорте</w:t>
      </w:r>
    </w:p>
    <w:p w:rsidR="00905F0D" w:rsidRDefault="00905F0D" w:rsidP="00905F0D">
      <w:pPr>
        <w:rPr>
          <w:kern w:val="28"/>
        </w:rPr>
      </w:pP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В отношении экспортно-импортных операций важное место занимают нормы валютного законодательства, устанавливающие требования репатриации экспортной выручки и получения импортных товаров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работ, услуг</w:t>
      </w:r>
      <w:r w:rsidR="00905F0D" w:rsidRPr="00905F0D">
        <w:rPr>
          <w:kern w:val="28"/>
        </w:rPr>
        <w:t>),</w:t>
      </w:r>
      <w:r w:rsidRPr="00905F0D">
        <w:rPr>
          <w:kern w:val="28"/>
        </w:rPr>
        <w:t xml:space="preserve"> порядка проведения авансовых платежей по договорам по импорту товаров</w:t>
      </w:r>
      <w:r w:rsidR="00905F0D" w:rsidRPr="00905F0D">
        <w:rPr>
          <w:kern w:val="28"/>
        </w:rPr>
        <w:t>.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Со 2 октября 2008 года на смену нормам Указа № 7, регламентирующим вопросы, изложенные в данной главе, приходят нормы Указа № 178</w:t>
      </w:r>
      <w:r w:rsidR="00905F0D" w:rsidRPr="00905F0D">
        <w:rPr>
          <w:kern w:val="28"/>
        </w:rPr>
        <w:t xml:space="preserve">. </w:t>
      </w:r>
      <w:r w:rsidRPr="00905F0D">
        <w:rPr>
          <w:kern w:val="28"/>
        </w:rPr>
        <w:t>Учитывая этот факт, материал содержит как нормы Указа № 7, так и нормы Указа № 178</w:t>
      </w:r>
      <w:r w:rsidR="00905F0D" w:rsidRPr="00905F0D">
        <w:rPr>
          <w:kern w:val="28"/>
        </w:rPr>
        <w:t>.</w:t>
      </w:r>
    </w:p>
    <w:p w:rsidR="00891AB0" w:rsidRPr="00905F0D" w:rsidRDefault="00891AB0" w:rsidP="00905F0D">
      <w:pPr>
        <w:rPr>
          <w:kern w:val="28"/>
        </w:rPr>
      </w:pPr>
      <w:r w:rsidRPr="00905F0D">
        <w:rPr>
          <w:kern w:val="28"/>
        </w:rPr>
        <w:t>В соответствии с Указом № 7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I</w:t>
      </w:r>
      <w:r w:rsidR="00905F0D" w:rsidRPr="00905F0D">
        <w:rPr>
          <w:kern w:val="28"/>
        </w:rPr>
        <w:t xml:space="preserve">. </w:t>
      </w:r>
      <w:r w:rsidRPr="00905F0D">
        <w:rPr>
          <w:kern w:val="28"/>
        </w:rPr>
        <w:t>В отношении порядка поступления денежных средств по экспорту п</w:t>
      </w:r>
      <w:r w:rsidR="00905F0D">
        <w:rPr>
          <w:kern w:val="28"/>
        </w:rPr>
        <w:t>.2.2</w:t>
      </w:r>
      <w:r w:rsidRPr="00905F0D">
        <w:rPr>
          <w:kern w:val="28"/>
        </w:rPr>
        <w:t xml:space="preserve"> Указа №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7 установлено, что поступление денежных средств от экспорта товаров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работ, услуг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осуществляется только на счета экспортеров, если иное не определено Президентом Республики Беларусь или по его поручению Советом Министров Республики Беларусь и Национальным банком</w:t>
      </w:r>
      <w:r w:rsidR="00905F0D" w:rsidRPr="00905F0D">
        <w:rPr>
          <w:kern w:val="28"/>
        </w:rPr>
        <w:t>.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Вышеназванное валютное ограничение имеет ряд исключений, согласно которым правомерно осуществление расчетов нерезидента с резидентом по экспорту не на счет резидента</w:t>
      </w:r>
      <w:r w:rsidR="00905F0D" w:rsidRPr="00905F0D">
        <w:rPr>
          <w:kern w:val="28"/>
        </w:rPr>
        <w:t xml:space="preserve">. </w:t>
      </w:r>
      <w:r w:rsidRPr="00905F0D">
        <w:rPr>
          <w:kern w:val="28"/>
        </w:rPr>
        <w:t>Данные исключения касаются следующих случаев</w:t>
      </w:r>
      <w:r w:rsidR="00905F0D" w:rsidRPr="00905F0D">
        <w:rPr>
          <w:kern w:val="28"/>
        </w:rPr>
        <w:t>.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1</w:t>
      </w:r>
      <w:r w:rsidR="00905F0D" w:rsidRPr="00905F0D">
        <w:rPr>
          <w:kern w:val="28"/>
        </w:rPr>
        <w:t xml:space="preserve">. </w:t>
      </w:r>
      <w:r w:rsidRPr="00905F0D">
        <w:rPr>
          <w:kern w:val="28"/>
        </w:rPr>
        <w:t>В случае неденежной формы прекращения обязательств поставка товаров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выполнение работ, оказание услуг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может осуществляться путем обмена на эквивалентное по стоимости количество других товаров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работ, услуг</w:t>
      </w:r>
      <w:r w:rsidR="00905F0D" w:rsidRPr="00905F0D">
        <w:rPr>
          <w:kern w:val="28"/>
        </w:rPr>
        <w:t>),</w:t>
      </w:r>
      <w:r w:rsidRPr="00905F0D">
        <w:rPr>
          <w:kern w:val="28"/>
        </w:rPr>
        <w:t xml:space="preserve"> оформленных двусторонним внешнеторговым договором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за исключением договоров, по которым осуществляется уступка требования или перевод долга</w:t>
      </w:r>
      <w:r w:rsidR="00905F0D" w:rsidRPr="00905F0D">
        <w:rPr>
          <w:kern w:val="28"/>
        </w:rPr>
        <w:t>),</w:t>
      </w:r>
      <w:r w:rsidRPr="00905F0D">
        <w:rPr>
          <w:kern w:val="28"/>
        </w:rPr>
        <w:t xml:space="preserve"> а по иным операциям при неденежной форме прекращения обязательств резидент Республики Беларусь имеет право получить только сырье, материалы, комплектующие изделия, полуфабрикаты, оборудование и энергоносители, используемые для собственного производства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п</w:t>
      </w:r>
      <w:r w:rsidR="00905F0D">
        <w:rPr>
          <w:kern w:val="28"/>
        </w:rPr>
        <w:t xml:space="preserve">.2.2 </w:t>
      </w:r>
      <w:r w:rsidRPr="00905F0D">
        <w:rPr>
          <w:kern w:val="28"/>
        </w:rPr>
        <w:t>Указа №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7</w:t>
      </w:r>
      <w:r w:rsidR="00905F0D" w:rsidRPr="00905F0D">
        <w:rPr>
          <w:kern w:val="28"/>
        </w:rPr>
        <w:t>).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2</w:t>
      </w:r>
      <w:r w:rsidR="00905F0D" w:rsidRPr="00905F0D">
        <w:rPr>
          <w:kern w:val="28"/>
        </w:rPr>
        <w:t xml:space="preserve">. </w:t>
      </w:r>
      <w:r w:rsidRPr="00905F0D">
        <w:rPr>
          <w:kern w:val="28"/>
        </w:rPr>
        <w:t>Требование в части обязательности поступления денежных средств от экспорта товаров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работ, услуг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только на счета экспортеров не распространяется на суммы авансов в наличной иностранной валюте, полученные представителями международных перевозчиков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экспедиторов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от нерезидентов за границей Республики Беларусь и используемые для оплаты расходов по перевозке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экспедиции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грузов по договорам, в счет оплаты которых эти средства получены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п</w:t>
      </w:r>
      <w:r w:rsidR="00905F0D">
        <w:rPr>
          <w:kern w:val="28"/>
        </w:rPr>
        <w:t>.2.2</w:t>
      </w:r>
      <w:r w:rsidRPr="00905F0D">
        <w:rPr>
          <w:kern w:val="28"/>
        </w:rPr>
        <w:t xml:space="preserve"> Указа №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7</w:t>
      </w:r>
      <w:r w:rsidR="00905F0D" w:rsidRPr="00905F0D">
        <w:rPr>
          <w:kern w:val="28"/>
        </w:rPr>
        <w:t>).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3</w:t>
      </w:r>
      <w:r w:rsidR="00905F0D" w:rsidRPr="00905F0D">
        <w:rPr>
          <w:kern w:val="28"/>
        </w:rPr>
        <w:t xml:space="preserve">. </w:t>
      </w:r>
      <w:r w:rsidRPr="00905F0D">
        <w:rPr>
          <w:kern w:val="28"/>
        </w:rPr>
        <w:t>В Постановлении №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1476/49 определен ряд случаев, при которых юридическим лицам и индивидуальным предпринимателям разрешено не зачислять на счета в Республике Беларусь денежные средства от экспорта товаров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работ, услуг</w:t>
      </w:r>
      <w:r w:rsidR="00905F0D" w:rsidRPr="00905F0D">
        <w:rPr>
          <w:kern w:val="28"/>
        </w:rPr>
        <w:t>),</w:t>
      </w:r>
      <w:r w:rsidRPr="00905F0D">
        <w:rPr>
          <w:kern w:val="28"/>
        </w:rPr>
        <w:t xml:space="preserve"> а именно</w:t>
      </w:r>
      <w:r w:rsidR="00905F0D" w:rsidRPr="00905F0D">
        <w:rPr>
          <w:kern w:val="28"/>
        </w:rPr>
        <w:t>: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направленные нерезидентами Республики Беларусь на оплату расходов резидентов Республики Беларусь, связанных со строительными работами за пределами Республики Беларусь в период выполнения данных строительных работ</w:t>
      </w:r>
      <w:r w:rsidR="00905F0D" w:rsidRPr="00905F0D">
        <w:rPr>
          <w:kern w:val="28"/>
        </w:rPr>
        <w:t>;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полученные от проведения выставок, спортивных и иных культурно-массовых мероприятий за пределами Республики Беларусь и направленные в течение 90 дней с даты получения на оплату расходов по проведению этих мероприятий</w:t>
      </w:r>
      <w:r w:rsidR="00905F0D" w:rsidRPr="00905F0D">
        <w:rPr>
          <w:kern w:val="28"/>
        </w:rPr>
        <w:t>;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используемые для оплаты комиссионных вознаграждений банкам за перевод данных денежных средств, за исключением банка, обслуживающего указанные счета в Республике Беларусь</w:t>
      </w:r>
      <w:r w:rsidR="00905F0D" w:rsidRPr="00905F0D">
        <w:rPr>
          <w:kern w:val="28"/>
        </w:rPr>
        <w:t>;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в соответствии с международными договорами Республики Беларусь, предусматривающими соответствующий порядок расчетов</w:t>
      </w:r>
      <w:r w:rsidR="00905F0D" w:rsidRPr="00905F0D">
        <w:rPr>
          <w:kern w:val="28"/>
        </w:rPr>
        <w:t>;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средства, полученные представителями международных перевозчиков в наличной иностранной валюте от нерезидентов Республики Беларусь за пределами республики в качестве авансов в счет оплаты по договорам транспортной экспедиции, заключенным между экспедитором и нерезидентом, в том случае, когда такое получение средств предусмотрено договорами по доставке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перевозке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грузов, заключенными экспедитором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от своего имени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и перевозчиком, и используемые для оплаты расходов по доставке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перевозке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грузов</w:t>
      </w:r>
      <w:r w:rsidR="00905F0D" w:rsidRPr="00905F0D">
        <w:rPr>
          <w:kern w:val="28"/>
        </w:rPr>
        <w:t>;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в сумме разницы между суммой, предусматриваемой обязательствами нерезидента по внешнеторговому договору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договорам</w:t>
      </w:r>
      <w:r w:rsidR="00905F0D" w:rsidRPr="00905F0D">
        <w:rPr>
          <w:kern w:val="28"/>
        </w:rPr>
        <w:t>),</w:t>
      </w:r>
      <w:r w:rsidRPr="00905F0D">
        <w:rPr>
          <w:kern w:val="28"/>
        </w:rPr>
        <w:t xml:space="preserve"> и суммой, выплачиваемой уполномоченным банком Республики Беларусь экспортеру согласно договору финансирования под уступку денежного требования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факторинга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по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данному внешнеторговому договору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договорам</w:t>
      </w:r>
      <w:r w:rsidR="00905F0D" w:rsidRPr="00905F0D">
        <w:rPr>
          <w:kern w:val="28"/>
        </w:rPr>
        <w:t>),</w:t>
      </w:r>
      <w:r w:rsidRPr="00905F0D">
        <w:rPr>
          <w:kern w:val="28"/>
        </w:rPr>
        <w:t xml:space="preserve"> если договор факторинга заключен после 1 февраля 2000 г</w:t>
      </w:r>
      <w:r w:rsidR="00905F0D">
        <w:rPr>
          <w:kern w:val="28"/>
        </w:rPr>
        <w:t>.;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в сумме разницы между суммой, предусматриваемой обязательствами по ценным бумагам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кроме акций</w:t>
      </w:r>
      <w:r w:rsidR="00905F0D" w:rsidRPr="00905F0D">
        <w:rPr>
          <w:kern w:val="28"/>
        </w:rPr>
        <w:t>),</w:t>
      </w:r>
      <w:r w:rsidRPr="00905F0D">
        <w:rPr>
          <w:kern w:val="28"/>
        </w:rPr>
        <w:t xml:space="preserve"> выпущенным нерезидентами и полученным экспортером от нерезидента Республики Беларусь по внешнеторговому договору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договорам</w:t>
      </w:r>
      <w:r w:rsidR="00905F0D" w:rsidRPr="00905F0D">
        <w:rPr>
          <w:kern w:val="28"/>
        </w:rPr>
        <w:t>),</w:t>
      </w:r>
      <w:r w:rsidRPr="00905F0D">
        <w:rPr>
          <w:kern w:val="28"/>
        </w:rPr>
        <w:t xml:space="preserve"> и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суммой, выплачиваемой уполномоченным банком Республики Беларусь экспортеру при осуществлении операций по учету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покупке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у экспортера данных ценных бумаг</w:t>
      </w:r>
      <w:r w:rsidR="00905F0D" w:rsidRPr="00905F0D">
        <w:rPr>
          <w:kern w:val="28"/>
        </w:rPr>
        <w:t>;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в сумме разницы между суммой, предусматриваемой обязательствами по ценным бумагам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кроме акций</w:t>
      </w:r>
      <w:r w:rsidR="00905F0D" w:rsidRPr="00905F0D">
        <w:rPr>
          <w:kern w:val="28"/>
        </w:rPr>
        <w:t>),</w:t>
      </w:r>
      <w:r w:rsidRPr="00905F0D">
        <w:rPr>
          <w:kern w:val="28"/>
        </w:rPr>
        <w:t xml:space="preserve"> выпущенным уполномоченными банками Республики Беларусь и полученным экспортером от нерезидента Республики Беларусь по внешнеторговому договору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договорам</w:t>
      </w:r>
      <w:r w:rsidR="00905F0D" w:rsidRPr="00905F0D">
        <w:rPr>
          <w:kern w:val="28"/>
        </w:rPr>
        <w:t>),</w:t>
      </w:r>
      <w:r w:rsidRPr="00905F0D">
        <w:rPr>
          <w:kern w:val="28"/>
        </w:rPr>
        <w:t xml:space="preserve"> и суммой, выплачиваемой уполномоченным банком Республики Беларусь экспортеру при осуществлении операций по учету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покупке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у экспортера данных ценных бумаг</w:t>
      </w:r>
      <w:r w:rsidR="00905F0D" w:rsidRPr="00905F0D">
        <w:rPr>
          <w:kern w:val="28"/>
        </w:rPr>
        <w:t>;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денежные средства от экспорта калийных удобрений, используемые для оплаты услуг банков за операции по аккредитивам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в том числе за авизование, обслуживание, подтверждение, дисконтирование</w:t>
      </w:r>
      <w:r w:rsidR="00905F0D" w:rsidRPr="00905F0D">
        <w:rPr>
          <w:kern w:val="28"/>
        </w:rPr>
        <w:t>).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II</w:t>
      </w:r>
      <w:r w:rsidR="00905F0D" w:rsidRPr="00905F0D">
        <w:rPr>
          <w:kern w:val="28"/>
        </w:rPr>
        <w:t xml:space="preserve">. </w:t>
      </w:r>
      <w:r w:rsidRPr="00905F0D">
        <w:rPr>
          <w:kern w:val="28"/>
        </w:rPr>
        <w:t>В отношении порядка проведения расчетов п</w:t>
      </w:r>
      <w:r w:rsidR="00905F0D">
        <w:rPr>
          <w:kern w:val="28"/>
        </w:rPr>
        <w:t>.2.4</w:t>
      </w:r>
      <w:r w:rsidRPr="00905F0D">
        <w:rPr>
          <w:kern w:val="28"/>
        </w:rPr>
        <w:t xml:space="preserve"> Указа №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7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аналогично п</w:t>
      </w:r>
      <w:r w:rsidR="00905F0D">
        <w:rPr>
          <w:kern w:val="28"/>
        </w:rPr>
        <w:t>.1.3</w:t>
      </w:r>
      <w:r w:rsidRPr="00905F0D">
        <w:rPr>
          <w:kern w:val="28"/>
        </w:rPr>
        <w:t xml:space="preserve"> Указа №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178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установлен запрет на осуществление расчетов белорусскими рублями между резидентами за экспор</w:t>
      </w:r>
      <w:r w:rsidR="00905F0D">
        <w:rPr>
          <w:kern w:val="28"/>
        </w:rPr>
        <w:t>т.</w:t>
      </w:r>
      <w:r w:rsidR="006565A4">
        <w:rPr>
          <w:kern w:val="28"/>
        </w:rPr>
        <w:t xml:space="preserve"> Д</w:t>
      </w:r>
      <w:r w:rsidRPr="00905F0D">
        <w:rPr>
          <w:kern w:val="28"/>
        </w:rPr>
        <w:t>анной нормой установлено, что расчеты в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белорусских рублях между резидентами в оплату обязательств по экспорту товаров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работ, услуг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не допускаются, если иное не определено Советом Министров Республики Беларусь и Национальным банком</w:t>
      </w:r>
      <w:r w:rsidR="00905F0D" w:rsidRPr="00905F0D">
        <w:rPr>
          <w:kern w:val="28"/>
        </w:rPr>
        <w:t>.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Из данного ограничения определены исключения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Указом №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178 такие исключения также допускаются</w:t>
      </w:r>
      <w:r w:rsidR="00905F0D" w:rsidRPr="00905F0D">
        <w:rPr>
          <w:kern w:val="28"/>
        </w:rPr>
        <w:t xml:space="preserve">). </w:t>
      </w:r>
      <w:r w:rsidRPr="00905F0D">
        <w:rPr>
          <w:kern w:val="28"/>
        </w:rPr>
        <w:t>Так, в Постановлении №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1476/49 разрешены расчеты в белорусских рублях с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резидентами в оплату обязательств по экспорту товаров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работ, услуг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при</w:t>
      </w:r>
      <w:r w:rsidR="00905F0D" w:rsidRPr="00905F0D">
        <w:rPr>
          <w:kern w:val="28"/>
        </w:rPr>
        <w:t>: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оплате за поставляемые нерезиденту Республики Беларусь товары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выполняемые работы, оказываемые услуги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в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счет поставок энергоносителей в Республику Беларусь, если плательщиком выступает резидент Республики Беларусь, в счет погашения задолженности которого осуществляются поставки товаров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выполнение работ, оказание услуг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нерезиденту Республики Беларусь</w:t>
      </w:r>
      <w:r w:rsidR="00905F0D" w:rsidRPr="00905F0D">
        <w:rPr>
          <w:kern w:val="28"/>
        </w:rPr>
        <w:t>;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оплате за товары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выполняемые работы, оказываемые услуги</w:t>
      </w:r>
      <w:r w:rsidR="00905F0D" w:rsidRPr="00905F0D">
        <w:rPr>
          <w:kern w:val="28"/>
        </w:rPr>
        <w:t>),</w:t>
      </w:r>
      <w:r w:rsidRPr="00905F0D">
        <w:rPr>
          <w:kern w:val="28"/>
        </w:rPr>
        <w:t xml:space="preserve"> поставляемые санаторно-курортным учреждениям, подчиненным Управлению делами Президента Республики Беларусь, расположенным на территориях других государств, за счет денежных средств, полученных от реализации путевок указанных учреждений через государственное учреждение</w:t>
      </w:r>
      <w:r w:rsidR="00905F0D">
        <w:rPr>
          <w:kern w:val="28"/>
        </w:rPr>
        <w:t xml:space="preserve"> "</w:t>
      </w:r>
      <w:r w:rsidRPr="00905F0D">
        <w:rPr>
          <w:kern w:val="28"/>
        </w:rPr>
        <w:t>Центр по санаторно-курортной работе</w:t>
      </w:r>
      <w:r w:rsidR="00905F0D">
        <w:rPr>
          <w:kern w:val="28"/>
        </w:rPr>
        <w:t xml:space="preserve"> "</w:t>
      </w:r>
      <w:r w:rsidRPr="00905F0D">
        <w:rPr>
          <w:kern w:val="28"/>
        </w:rPr>
        <w:t>ЦентрКурорт</w:t>
      </w:r>
      <w:r w:rsidR="00905F0D">
        <w:rPr>
          <w:kern w:val="28"/>
        </w:rPr>
        <w:t xml:space="preserve">"" </w:t>
      </w:r>
      <w:r w:rsidRPr="00905F0D">
        <w:rPr>
          <w:kern w:val="28"/>
        </w:rPr>
        <w:t>Управления делами Президента Республики Беларусь</w:t>
      </w:r>
      <w:r w:rsidR="00905F0D" w:rsidRPr="00905F0D">
        <w:rPr>
          <w:kern w:val="28"/>
        </w:rPr>
        <w:t>;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экспорте товаров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работ, услуг</w:t>
      </w:r>
      <w:r w:rsidR="00905F0D" w:rsidRPr="00905F0D">
        <w:rPr>
          <w:kern w:val="28"/>
        </w:rPr>
        <w:t>),</w:t>
      </w:r>
      <w:r w:rsidRPr="00905F0D">
        <w:rPr>
          <w:kern w:val="28"/>
        </w:rPr>
        <w:t xml:space="preserve"> осуществляемом в рамках международных договоров, предусматривающих соответствующий порядок расчетов</w:t>
      </w:r>
      <w:r w:rsidR="00905F0D" w:rsidRPr="00905F0D">
        <w:rPr>
          <w:kern w:val="28"/>
        </w:rPr>
        <w:t>;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проведении уполномоченными банками Республики Беларусь платежей по договору финансирования под уступку денежного требования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факторинга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с экспортером, если денежное требование по внешнеторговому договору выражено в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белорусских рублях</w:t>
      </w:r>
      <w:r w:rsidR="00905F0D" w:rsidRPr="00905F0D">
        <w:rPr>
          <w:kern w:val="28"/>
        </w:rPr>
        <w:t>;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покупке у экспортера уполномоченным банком Республики Беларусь ценных бумаг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кроме акций</w:t>
      </w:r>
      <w:r w:rsidR="00905F0D" w:rsidRPr="00905F0D">
        <w:rPr>
          <w:kern w:val="28"/>
        </w:rPr>
        <w:t>),</w:t>
      </w:r>
      <w:r w:rsidRPr="00905F0D">
        <w:rPr>
          <w:kern w:val="28"/>
        </w:rPr>
        <w:t xml:space="preserve"> выпущенных нерезидентами Республики Беларусь, номинированных в белорусских рублях и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полученных экспортером от нерезидентов Республики Беларусь по внешнеторговому договору</w:t>
      </w:r>
      <w:r w:rsidR="00905F0D" w:rsidRPr="00905F0D">
        <w:rPr>
          <w:kern w:val="28"/>
        </w:rPr>
        <w:t>;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покупке у экспортера или предъявлении экспортером к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платежу уполномоченному банку Республики Беларусь ценных бумаг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кроме акций</w:t>
      </w:r>
      <w:r w:rsidR="00905F0D" w:rsidRPr="00905F0D">
        <w:rPr>
          <w:kern w:val="28"/>
        </w:rPr>
        <w:t>),</w:t>
      </w:r>
      <w:r w:rsidRPr="00905F0D">
        <w:rPr>
          <w:kern w:val="28"/>
        </w:rPr>
        <w:t xml:space="preserve"> полученных от нерезидента Республики Беларусь по внешнеторговому договору, выпущенных уполномоченным банком Республики Беларусь и номинированных в белорусских рублях</w:t>
      </w:r>
      <w:r w:rsidR="00905F0D" w:rsidRPr="00905F0D">
        <w:rPr>
          <w:kern w:val="28"/>
        </w:rPr>
        <w:t>;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покупке у экспортера ценных бумаг Национального банка, номинированных в белорусских рублях или иностранной валюте и полученных от нерезидента Республики Беларусь по внешнеторговому договору</w:t>
      </w:r>
      <w:r w:rsidR="00905F0D" w:rsidRPr="00905F0D">
        <w:rPr>
          <w:kern w:val="28"/>
        </w:rPr>
        <w:t>.</w:t>
      </w:r>
    </w:p>
    <w:p w:rsidR="00891AB0" w:rsidRPr="00905F0D" w:rsidRDefault="00891AB0" w:rsidP="00905F0D">
      <w:pPr>
        <w:rPr>
          <w:kern w:val="28"/>
        </w:rPr>
      </w:pPr>
      <w:r w:rsidRPr="00905F0D">
        <w:rPr>
          <w:kern w:val="28"/>
        </w:rPr>
        <w:t>В соответствии с Указом № 178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При экспорте обязательства по внешнеторговым операциям могут быть прекращены следующими способами</w:t>
      </w:r>
      <w:r w:rsidR="00905F0D" w:rsidRPr="00905F0D">
        <w:rPr>
          <w:kern w:val="28"/>
        </w:rPr>
        <w:t>.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1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Путем поступления денежных средств за переданные товары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охраняемую информацию, исключительные права на результаты интеллектуальной деятельности</w:t>
      </w:r>
      <w:r w:rsidR="00905F0D" w:rsidRPr="00905F0D">
        <w:rPr>
          <w:kern w:val="28"/>
        </w:rPr>
        <w:t>),</w:t>
      </w:r>
      <w:r w:rsidRPr="00905F0D">
        <w:rPr>
          <w:kern w:val="28"/>
        </w:rPr>
        <w:t xml:space="preserve"> выполненные работы, оказанные услуги согласно внешнеторговому договору</w:t>
      </w:r>
      <w:r w:rsidR="00905F0D" w:rsidRPr="00905F0D">
        <w:rPr>
          <w:kern w:val="28"/>
        </w:rPr>
        <w:t>.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Датой прекращения обязательств нерезидента при экспорте в этом случае считается дата поступления денежных средств от экспорта, а точнее</w:t>
      </w:r>
      <w:r w:rsidR="00905F0D" w:rsidRPr="00905F0D">
        <w:rPr>
          <w:kern w:val="28"/>
        </w:rPr>
        <w:t xml:space="preserve"> - </w:t>
      </w:r>
      <w:r w:rsidRPr="00905F0D">
        <w:rPr>
          <w:kern w:val="28"/>
        </w:rPr>
        <w:t>дата их зачисления на счет экспортера в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банке, а в случаях, предусмотренных законодательством,</w:t>
      </w:r>
      <w:r w:rsidR="00905F0D" w:rsidRPr="00905F0D">
        <w:rPr>
          <w:kern w:val="28"/>
        </w:rPr>
        <w:t xml:space="preserve"> - </w:t>
      </w:r>
      <w:r w:rsidRPr="00905F0D">
        <w:rPr>
          <w:kern w:val="28"/>
        </w:rPr>
        <w:t>на счета в банках-нерезидентах, кроме случаев, перечисленных в</w:t>
      </w:r>
      <w:r w:rsidR="00905F0D" w:rsidRPr="00905F0D">
        <w:rPr>
          <w:kern w:val="28"/>
        </w:rPr>
        <w:t xml:space="preserve"> </w:t>
      </w:r>
      <w:r w:rsidRPr="00905F0D">
        <w:rPr>
          <w:kern w:val="28"/>
        </w:rPr>
        <w:t>п</w:t>
      </w:r>
      <w:r w:rsidR="00905F0D">
        <w:rPr>
          <w:kern w:val="28"/>
        </w:rPr>
        <w:t>.1.8</w:t>
      </w:r>
      <w:r w:rsidRPr="00905F0D">
        <w:rPr>
          <w:kern w:val="28"/>
        </w:rPr>
        <w:t xml:space="preserve"> Указа № 178</w:t>
      </w:r>
      <w:r w:rsidR="00905F0D" w:rsidRPr="00905F0D">
        <w:rPr>
          <w:kern w:val="28"/>
        </w:rPr>
        <w:t>.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2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Путем получения страхового возмещения по договору страхования экспортного риска, заключенному между экспортером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банком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и страховой организацией либо нерезидентом и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страховой организацией</w:t>
      </w:r>
      <w:r w:rsidR="00905F0D" w:rsidRPr="00905F0D">
        <w:rPr>
          <w:kern w:val="28"/>
        </w:rPr>
        <w:t>.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Датой прекращения обязательств нерезидента при экспорте в этом случае считается дата поступления страхового возмещения, а точнее</w:t>
      </w:r>
      <w:r w:rsidR="00905F0D" w:rsidRPr="00905F0D">
        <w:rPr>
          <w:kern w:val="28"/>
        </w:rPr>
        <w:t xml:space="preserve"> - </w:t>
      </w:r>
      <w:r w:rsidRPr="00905F0D">
        <w:rPr>
          <w:kern w:val="28"/>
        </w:rPr>
        <w:t>дата их зачисления на счет экспортера в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банке, а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в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случаях, предусмотренных законодательством,</w:t>
      </w:r>
      <w:r w:rsidR="00905F0D" w:rsidRPr="00905F0D">
        <w:rPr>
          <w:kern w:val="28"/>
        </w:rPr>
        <w:t xml:space="preserve"> - </w:t>
      </w:r>
      <w:r w:rsidRPr="00905F0D">
        <w:rPr>
          <w:kern w:val="28"/>
        </w:rPr>
        <w:t>на счета в банках-нерезидентах, кроме случаев, перечисленных в п</w:t>
      </w:r>
      <w:r w:rsidR="00905F0D">
        <w:rPr>
          <w:kern w:val="28"/>
        </w:rPr>
        <w:t>.1.8</w:t>
      </w:r>
      <w:r w:rsidRPr="00905F0D">
        <w:rPr>
          <w:kern w:val="28"/>
        </w:rPr>
        <w:t xml:space="preserve"> Указа №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178</w:t>
      </w:r>
      <w:r w:rsidR="00905F0D" w:rsidRPr="00905F0D">
        <w:rPr>
          <w:kern w:val="28"/>
        </w:rPr>
        <w:t>.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Для вышеуказанных случаев прекращения обязательств по внешнеторговым операциям при экспорте Указом № 178 установлены следующие дополнительные условия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требования</w:t>
      </w:r>
      <w:r w:rsidR="00905F0D" w:rsidRPr="00905F0D">
        <w:rPr>
          <w:kern w:val="28"/>
        </w:rPr>
        <w:t>):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при экспорте расчеты в белорусских рублях резидентом по внешнеторговым договорам, заключенным между другим резидентом и нерезидентом, не допускаются, если иное не определено Советом Министров совместно с Национальным банком</w:t>
      </w:r>
      <w:r w:rsidR="00905F0D" w:rsidRPr="00905F0D">
        <w:rPr>
          <w:kern w:val="28"/>
        </w:rPr>
        <w:t>;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поступление денежных средств при прекращении обязательств по внешнеторговым операциям способами 1 и 2 осуществляется только на счета экспортеров, за исключением денежных средств</w:t>
      </w:r>
      <w:r w:rsidR="00905F0D" w:rsidRPr="00905F0D">
        <w:rPr>
          <w:kern w:val="28"/>
        </w:rPr>
        <w:t>: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используемых при расчетах, производимых в соответствии с международными договорами Республики Беларусь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датой прекращения обязательств нерезидента при экспорте в этом случае считается дата направления денежных средств на оплату соответствующих расходов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уплату налогов и других платежей</w:t>
      </w:r>
      <w:r w:rsidR="00905F0D" w:rsidRPr="00905F0D">
        <w:rPr>
          <w:kern w:val="28"/>
        </w:rPr>
        <w:t>));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направляемых на уплату налогов согласно законодательству иностранного государства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датой прекращения обязательств нерезидента при экспорте в этом случае считается дата направления денежных средств на уплату налогов</w:t>
      </w:r>
      <w:r w:rsidR="00905F0D" w:rsidRPr="00905F0D">
        <w:rPr>
          <w:kern w:val="28"/>
        </w:rPr>
        <w:t>);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направленных нерезидентами на оплату расходов экспортеров, связанных со строительными работами за пределами Республики Беларусь в период их выполнения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датой прекращения обязательств нерезидента при экспорте в этом случае считается дата направления денежных средств на оплату соответствующих расходов</w:t>
      </w:r>
      <w:r w:rsidR="00905F0D" w:rsidRPr="00905F0D">
        <w:rPr>
          <w:kern w:val="28"/>
        </w:rPr>
        <w:t>);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полученных от проведения выставок, спортивных и иных культурно-массовых мероприятий за пределами Республики Беларусь и направленных на оплату расходов по их проведению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датой прекращения обязательств нерезидента при экспорте в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этом случае считается дата направления денежных средств на оплату соответствующих расходов</w:t>
      </w:r>
      <w:r w:rsidR="00905F0D" w:rsidRPr="00905F0D">
        <w:rPr>
          <w:kern w:val="28"/>
        </w:rPr>
        <w:t>);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полученных представителями международных перевозчиков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резидентами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от нерезидентов за пределами Республики Беларусь в качестве авансов в счет оплаты расходов по договорам транспортной экспедиции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перевозке грузов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и используемых для этих целей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датой прекращения обязательств нерезидента при экспорте в этом случае считается дата направления денежных средств на оплату соответствующих расходов</w:t>
      </w:r>
      <w:r w:rsidR="00905F0D" w:rsidRPr="00905F0D">
        <w:rPr>
          <w:kern w:val="28"/>
        </w:rPr>
        <w:t>);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поступивших по внешнеторговым договорам, заключенным на основании сделок, совершенных на биржевых торгах ОАО</w:t>
      </w:r>
      <w:r w:rsidR="00905F0D">
        <w:rPr>
          <w:kern w:val="28"/>
        </w:rPr>
        <w:t xml:space="preserve"> "</w:t>
      </w:r>
      <w:r w:rsidRPr="00905F0D">
        <w:rPr>
          <w:kern w:val="28"/>
        </w:rPr>
        <w:t>Белорусская универсальная товарная биржа</w:t>
      </w:r>
      <w:r w:rsidR="00905F0D">
        <w:rPr>
          <w:kern w:val="28"/>
        </w:rPr>
        <w:t>" (</w:t>
      </w:r>
      <w:r w:rsidRPr="00905F0D">
        <w:rPr>
          <w:kern w:val="28"/>
        </w:rPr>
        <w:t>датой прекращения обязательств нерезидента при экспорте в этом случае считается дата поступления денежных средств от экспорта, а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точнее</w:t>
      </w:r>
      <w:r w:rsidR="00905F0D" w:rsidRPr="00905F0D">
        <w:rPr>
          <w:kern w:val="28"/>
        </w:rPr>
        <w:t xml:space="preserve"> - </w:t>
      </w:r>
      <w:r w:rsidRPr="00905F0D">
        <w:rPr>
          <w:kern w:val="28"/>
        </w:rPr>
        <w:t>дата их зачисления на счет экспортера в банке</w:t>
      </w:r>
      <w:r w:rsidR="00905F0D" w:rsidRPr="00905F0D">
        <w:rPr>
          <w:kern w:val="28"/>
        </w:rPr>
        <w:t>);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причитающихся экспортерам по внешнеторговым договорам и направленных ими без поступления на их счета на оплату своих обязательств перед банками, в том числе перед банками-нерезидентами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кроме обязательств по уплате комиссионного вознаграждения банку, обслуживающему счет экспортера в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Республике Беларусь, и обязательств по договорам, заключаемым с банками и предусматривающим осуществление банками деятельности для собственных нужд</w:t>
      </w:r>
      <w:r w:rsidR="00905F0D" w:rsidRPr="00905F0D">
        <w:rPr>
          <w:kern w:val="28"/>
        </w:rPr>
        <w:t>)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датой прекращения обязательств нерезидента при экспорте в этом случае считается дата направления денежных средств на оплату соответствующих расходов</w:t>
      </w:r>
      <w:r w:rsidR="00905F0D" w:rsidRPr="00905F0D">
        <w:rPr>
          <w:kern w:val="28"/>
        </w:rPr>
        <w:t>);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причитающихся экспортерам в иных случаях, определенных Советом Министров Республики Беларусь совместно с Национальным банком по согласованию с Президентом Республики Беларусь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датой прекращения обязательств нерезидента при экспорте в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этом случае считается дата, определенная Советом Министров Республики Беларусь совместно с Национальным банком по согласованию с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Президентом Республики Беларусь</w:t>
      </w:r>
      <w:r w:rsidR="00905F0D" w:rsidRPr="00905F0D">
        <w:rPr>
          <w:kern w:val="28"/>
        </w:rPr>
        <w:t>).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3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Путем зачета встречных однородных денежных требований, вытекающих из двусторонних внешнеторговых договоров, а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также в соответствии с международными договорами о взаимных безналичных расчетах, осуществляемых на основе клиринга</w:t>
      </w:r>
      <w:r w:rsidR="00905F0D" w:rsidRPr="00905F0D">
        <w:rPr>
          <w:kern w:val="28"/>
        </w:rPr>
        <w:t>.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Датой прекращения обязательств нерезидента при экспорте в этом случае считается дата подписания сторонами документа, которым оформляется зачет встречных однородных денежных требований, вытекающих из двусторонних внешнеторговых договоров, либо которым в соответствии с международными договорами оформлены взаимные безналичные расчеты, осуществляемые на основе клиринга</w:t>
      </w:r>
      <w:r w:rsidR="00905F0D" w:rsidRPr="00905F0D">
        <w:rPr>
          <w:kern w:val="28"/>
        </w:rPr>
        <w:t>.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4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Путем обмена на эквивалентное по стоимости количество товаров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охраняемой информации, исключительных прав на результаты интеллектуальной деятельности</w:t>
      </w:r>
      <w:r w:rsidR="00905F0D" w:rsidRPr="00905F0D">
        <w:rPr>
          <w:kern w:val="28"/>
        </w:rPr>
        <w:t>),</w:t>
      </w:r>
      <w:r w:rsidRPr="00905F0D">
        <w:rPr>
          <w:kern w:val="28"/>
        </w:rPr>
        <w:t xml:space="preserve"> выполненных работ, оказанных услуг, оформленного двусторонним внешнеторговым договором</w:t>
      </w:r>
      <w:r w:rsidR="00905F0D" w:rsidRPr="00905F0D">
        <w:rPr>
          <w:kern w:val="28"/>
        </w:rPr>
        <w:t>.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Датой прекращения обязательств нерезидента при экспорте в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этом случае считается дата поступления товаров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получения охраняемой информации, исключительных прав на результаты интеллектуальной деятельности</w:t>
      </w:r>
      <w:r w:rsidR="00905F0D" w:rsidRPr="00905F0D">
        <w:rPr>
          <w:kern w:val="28"/>
        </w:rPr>
        <w:t>),</w:t>
      </w:r>
      <w:r w:rsidRPr="00905F0D">
        <w:rPr>
          <w:kern w:val="28"/>
        </w:rPr>
        <w:t xml:space="preserve"> выполнения работ, оказания услуг</w:t>
      </w:r>
      <w:r w:rsidR="00905F0D" w:rsidRPr="00905F0D">
        <w:rPr>
          <w:kern w:val="28"/>
        </w:rPr>
        <w:t>.</w:t>
      </w:r>
    </w:p>
    <w:p w:rsidR="006565A4" w:rsidRDefault="00891AB0" w:rsidP="00905F0D">
      <w:pPr>
        <w:rPr>
          <w:kern w:val="28"/>
        </w:rPr>
      </w:pPr>
      <w:r w:rsidRPr="00905F0D">
        <w:rPr>
          <w:kern w:val="28"/>
        </w:rPr>
        <w:t>Датой поступления товаров считается дата их помещения под таможенные режимы, предусмотренные Таможенным кодексом Республики Беларусь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далее</w:t>
      </w:r>
      <w:r w:rsidR="00905F0D" w:rsidRPr="00905F0D">
        <w:rPr>
          <w:kern w:val="28"/>
        </w:rPr>
        <w:t xml:space="preserve"> - </w:t>
      </w:r>
      <w:r w:rsidRPr="00905F0D">
        <w:rPr>
          <w:kern w:val="28"/>
        </w:rPr>
        <w:t>ТмК</w:t>
      </w:r>
      <w:r w:rsidR="00905F0D" w:rsidRPr="00905F0D">
        <w:rPr>
          <w:kern w:val="28"/>
        </w:rPr>
        <w:t xml:space="preserve">). 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Если в соответствии с законодательством таможенное оформление товаров не производится, датой поступления товаров считается дата их оприходования в</w:t>
      </w:r>
      <w:r w:rsidR="00905F0D">
        <w:rPr>
          <w:kern w:val="28"/>
        </w:rPr>
        <w:t xml:space="preserve"> </w:t>
      </w:r>
      <w:r w:rsidRPr="00905F0D">
        <w:rPr>
          <w:kern w:val="28"/>
        </w:rPr>
        <w:t>установленном порядке импортером</w:t>
      </w:r>
      <w:r w:rsidR="00905F0D" w:rsidRPr="00905F0D">
        <w:rPr>
          <w:kern w:val="28"/>
        </w:rPr>
        <w:t>.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Дата выполнения работ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оказания услуг, получения или передачи охраняемой информации, исключительных прав на результаты интеллектуальной деятельности</w:t>
      </w:r>
      <w:r w:rsidR="00905F0D" w:rsidRPr="00905F0D">
        <w:rPr>
          <w:kern w:val="28"/>
        </w:rPr>
        <w:t xml:space="preserve">) - </w:t>
      </w:r>
      <w:r w:rsidRPr="00905F0D">
        <w:rPr>
          <w:kern w:val="28"/>
        </w:rPr>
        <w:t>дата подписания сторонами акта о приемке-сдаче выполненных работ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оказанных услуг, полученной охраняемой информации, исключительных прав на результаты интеллектуальной деятельности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либо иного документа, предусмотренного законодательством, подтверждающего факт исполнения обязательства по внешнеторговой операции, а также</w:t>
      </w:r>
      <w:r w:rsidR="00905F0D" w:rsidRPr="00905F0D">
        <w:rPr>
          <w:kern w:val="28"/>
        </w:rPr>
        <w:t>: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при осуществлении международных перевозок</w:t>
      </w:r>
      <w:r w:rsidR="00905F0D" w:rsidRPr="00905F0D">
        <w:rPr>
          <w:kern w:val="28"/>
        </w:rPr>
        <w:t xml:space="preserve"> - </w:t>
      </w:r>
      <w:r w:rsidRPr="00905F0D">
        <w:rPr>
          <w:kern w:val="28"/>
        </w:rPr>
        <w:t>дата получения груза грузополучателем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последующим перевозчиком</w:t>
      </w:r>
      <w:r w:rsidR="00905F0D" w:rsidRPr="00905F0D">
        <w:rPr>
          <w:kern w:val="28"/>
        </w:rPr>
        <w:t>),</w:t>
      </w:r>
      <w:r w:rsidRPr="00905F0D">
        <w:rPr>
          <w:kern w:val="28"/>
        </w:rPr>
        <w:t xml:space="preserve"> отмеченная им в товаросопроводительных документах</w:t>
      </w:r>
      <w:r w:rsidR="00905F0D" w:rsidRPr="00905F0D">
        <w:rPr>
          <w:kern w:val="28"/>
        </w:rPr>
        <w:t>;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при оказании услуг по переработке сырья заказчика</w:t>
      </w:r>
      <w:r w:rsidR="00905F0D" w:rsidRPr="00905F0D">
        <w:rPr>
          <w:kern w:val="28"/>
        </w:rPr>
        <w:t xml:space="preserve"> - </w:t>
      </w:r>
      <w:r w:rsidRPr="00905F0D">
        <w:rPr>
          <w:kern w:val="28"/>
        </w:rPr>
        <w:t>дата отгрузки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поступления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готовой продукции, произведенной из этого сырья</w:t>
      </w:r>
      <w:r w:rsidR="00905F0D" w:rsidRPr="00905F0D">
        <w:rPr>
          <w:kern w:val="28"/>
        </w:rPr>
        <w:t>.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5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Путем возврата переданных по внешнеторговому договору резидентами товаров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охраняемой информации, исключительных прав на результаты интеллектуальной деятельности</w:t>
      </w:r>
      <w:r w:rsidR="00905F0D" w:rsidRPr="00905F0D">
        <w:rPr>
          <w:kern w:val="28"/>
        </w:rPr>
        <w:t>).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Датой прекращения обязательств нерезидента при экспорте в этом случае считается дата поступления товаров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получения охраняемой информации, исключительных прав на результаты интеллектуальной деятельности</w:t>
      </w:r>
      <w:r w:rsidR="00905F0D" w:rsidRPr="00905F0D">
        <w:rPr>
          <w:kern w:val="28"/>
        </w:rPr>
        <w:t>),</w:t>
      </w:r>
      <w:r w:rsidRPr="00905F0D">
        <w:rPr>
          <w:kern w:val="28"/>
        </w:rPr>
        <w:t xml:space="preserve"> выполнения работ, оказания услуг</w:t>
      </w:r>
      <w:r w:rsidR="00905F0D" w:rsidRPr="00905F0D">
        <w:rPr>
          <w:kern w:val="28"/>
        </w:rPr>
        <w:t>.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Датой поступления товаров считается дата их помещения под таможенные режимы, предусмотренные ТмК</w:t>
      </w:r>
      <w:r w:rsidR="00905F0D" w:rsidRPr="00905F0D">
        <w:rPr>
          <w:kern w:val="28"/>
        </w:rPr>
        <w:t xml:space="preserve">. </w:t>
      </w:r>
      <w:r w:rsidRPr="00905F0D">
        <w:rPr>
          <w:kern w:val="28"/>
        </w:rPr>
        <w:t>Если в соответствии с законодательством таможенное оформление товаров не производится, датой поступления товаров считается дата их оприходования в установленном порядке импортером</w:t>
      </w:r>
      <w:r w:rsidR="00905F0D" w:rsidRPr="00905F0D">
        <w:rPr>
          <w:kern w:val="28"/>
        </w:rPr>
        <w:t>.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Дата выполнения работ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оказания услуг, получения или передачи охраняемой информации, исключительных прав на результаты интеллектуальной деятельности</w:t>
      </w:r>
      <w:r w:rsidR="00905F0D" w:rsidRPr="00905F0D">
        <w:rPr>
          <w:kern w:val="28"/>
        </w:rPr>
        <w:t xml:space="preserve">) - </w:t>
      </w:r>
      <w:r w:rsidRPr="00905F0D">
        <w:rPr>
          <w:kern w:val="28"/>
        </w:rPr>
        <w:t>дата подписания сторонами акта о приемке-сдаче выполненных работ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оказанных услуг, полученной охраняемой информации, исключительных прав на результаты интеллектуальной деятельности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либо иного документа, предусмотренного законодательством, подтверждающего факт исполнения обязательства по внешнеторговой операции, а также</w:t>
      </w:r>
      <w:r w:rsidR="00905F0D" w:rsidRPr="00905F0D">
        <w:rPr>
          <w:kern w:val="28"/>
        </w:rPr>
        <w:t>: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при осуществлении международных перевозок</w:t>
      </w:r>
      <w:r w:rsidR="00905F0D" w:rsidRPr="00905F0D">
        <w:rPr>
          <w:kern w:val="28"/>
        </w:rPr>
        <w:t xml:space="preserve"> - </w:t>
      </w:r>
      <w:r w:rsidRPr="00905F0D">
        <w:rPr>
          <w:kern w:val="28"/>
        </w:rPr>
        <w:t>дата получения груза грузополучателем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последующим перевозчиком</w:t>
      </w:r>
      <w:r w:rsidR="00905F0D" w:rsidRPr="00905F0D">
        <w:rPr>
          <w:kern w:val="28"/>
        </w:rPr>
        <w:t>),</w:t>
      </w:r>
      <w:r w:rsidRPr="00905F0D">
        <w:rPr>
          <w:kern w:val="28"/>
        </w:rPr>
        <w:t xml:space="preserve"> отмеченная им в товаросопроводительных документах</w:t>
      </w:r>
      <w:r w:rsidR="00905F0D" w:rsidRPr="00905F0D">
        <w:rPr>
          <w:kern w:val="28"/>
        </w:rPr>
        <w:t>;</w:t>
      </w:r>
    </w:p>
    <w:p w:rsidR="00905F0D" w:rsidRDefault="00891AB0" w:rsidP="00905F0D">
      <w:pPr>
        <w:rPr>
          <w:kern w:val="28"/>
        </w:rPr>
      </w:pPr>
      <w:r w:rsidRPr="00905F0D">
        <w:rPr>
          <w:kern w:val="28"/>
        </w:rPr>
        <w:t>при оказании услуг по переработке сырья заказчика</w:t>
      </w:r>
      <w:r w:rsidR="00905F0D" w:rsidRPr="00905F0D">
        <w:rPr>
          <w:kern w:val="28"/>
        </w:rPr>
        <w:t xml:space="preserve"> - </w:t>
      </w:r>
      <w:r w:rsidRPr="00905F0D">
        <w:rPr>
          <w:kern w:val="28"/>
        </w:rPr>
        <w:t>дата отгрузки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поступления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готовой продукции, произведенной из этого сырья</w:t>
      </w:r>
      <w:r w:rsidR="00905F0D" w:rsidRPr="00905F0D">
        <w:rPr>
          <w:kern w:val="28"/>
        </w:rPr>
        <w:t>.</w:t>
      </w:r>
    </w:p>
    <w:p w:rsidR="00905F0D" w:rsidRPr="00905F0D" w:rsidRDefault="00891AB0" w:rsidP="00905F0D">
      <w:pPr>
        <w:pStyle w:val="2"/>
        <w:rPr>
          <w:kern w:val="28"/>
        </w:rPr>
      </w:pPr>
      <w:r w:rsidRPr="00905F0D">
        <w:br w:type="page"/>
      </w:r>
      <w:r w:rsidR="00905F0D">
        <w:rPr>
          <w:kern w:val="28"/>
        </w:rPr>
        <w:t>Список использованных источников</w:t>
      </w:r>
    </w:p>
    <w:p w:rsidR="00905F0D" w:rsidRDefault="00905F0D" w:rsidP="00905F0D">
      <w:pPr>
        <w:rPr>
          <w:kern w:val="28"/>
        </w:rPr>
      </w:pPr>
    </w:p>
    <w:p w:rsidR="00905F0D" w:rsidRDefault="00891AB0" w:rsidP="00905F0D">
      <w:pPr>
        <w:pStyle w:val="a0"/>
        <w:rPr>
          <w:kern w:val="28"/>
        </w:rPr>
      </w:pPr>
      <w:r w:rsidRPr="00905F0D">
        <w:rPr>
          <w:kern w:val="28"/>
        </w:rPr>
        <w:t>Конституция Республики Беларусь 1994 года</w:t>
      </w:r>
      <w:r w:rsidR="00905F0D" w:rsidRPr="00905F0D">
        <w:rPr>
          <w:kern w:val="28"/>
        </w:rPr>
        <w:t xml:space="preserve">. </w:t>
      </w:r>
      <w:r w:rsidRPr="00905F0D">
        <w:rPr>
          <w:kern w:val="28"/>
        </w:rPr>
        <w:t>Принята на республиканском референдуме 24 ноября 1996 года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с изменениями и дополнениями, принятыми на республиканских референдумах 24 ноября 1996г</w:t>
      </w:r>
      <w:r w:rsidR="00905F0D" w:rsidRPr="00905F0D">
        <w:rPr>
          <w:kern w:val="28"/>
        </w:rPr>
        <w:t xml:space="preserve">. </w:t>
      </w:r>
      <w:r w:rsidRPr="00905F0D">
        <w:rPr>
          <w:kern w:val="28"/>
        </w:rPr>
        <w:t>и 17 октября 2004г</w:t>
      </w:r>
      <w:r w:rsidR="00905F0D" w:rsidRPr="00905F0D">
        <w:rPr>
          <w:kern w:val="28"/>
        </w:rPr>
        <w:t xml:space="preserve">) </w:t>
      </w:r>
      <w:r w:rsidRPr="00905F0D">
        <w:rPr>
          <w:kern w:val="28"/>
        </w:rPr>
        <w:t>Минск</w:t>
      </w:r>
      <w:r w:rsidR="00905F0D">
        <w:rPr>
          <w:kern w:val="28"/>
        </w:rPr>
        <w:t xml:space="preserve"> "</w:t>
      </w:r>
      <w:r w:rsidRPr="00905F0D">
        <w:rPr>
          <w:kern w:val="28"/>
        </w:rPr>
        <w:t>Беларусь</w:t>
      </w:r>
      <w:r w:rsidR="00905F0D">
        <w:rPr>
          <w:kern w:val="28"/>
        </w:rPr>
        <w:t xml:space="preserve">" </w:t>
      </w:r>
      <w:r w:rsidRPr="00905F0D">
        <w:rPr>
          <w:kern w:val="28"/>
        </w:rPr>
        <w:t>2004г</w:t>
      </w:r>
      <w:r w:rsidR="00905F0D" w:rsidRPr="00905F0D">
        <w:rPr>
          <w:kern w:val="28"/>
        </w:rPr>
        <w:t>.</w:t>
      </w:r>
    </w:p>
    <w:p w:rsidR="00905F0D" w:rsidRDefault="00891AB0" w:rsidP="00905F0D">
      <w:pPr>
        <w:pStyle w:val="a0"/>
        <w:rPr>
          <w:kern w:val="28"/>
        </w:rPr>
      </w:pPr>
      <w:r w:rsidRPr="00905F0D">
        <w:rPr>
          <w:kern w:val="28"/>
        </w:rPr>
        <w:t>Таможенный кодекс Республики Беларусь от 4 января 2007г</w:t>
      </w:r>
      <w:r w:rsidR="00905F0D" w:rsidRPr="00905F0D">
        <w:rPr>
          <w:kern w:val="28"/>
        </w:rPr>
        <w:t xml:space="preserve">. </w:t>
      </w:r>
      <w:r w:rsidRPr="00905F0D">
        <w:rPr>
          <w:kern w:val="28"/>
        </w:rPr>
        <w:t>№ 204-З</w:t>
      </w:r>
      <w:r w:rsidR="00905F0D" w:rsidRPr="00905F0D">
        <w:rPr>
          <w:kern w:val="28"/>
        </w:rPr>
        <w:t xml:space="preserve">. </w:t>
      </w:r>
      <w:r w:rsidRPr="00905F0D">
        <w:rPr>
          <w:kern w:val="28"/>
        </w:rPr>
        <w:t>Принят Палатой представителей 7 декабря 2006 года</w:t>
      </w:r>
      <w:r w:rsidR="00905F0D" w:rsidRPr="00905F0D">
        <w:rPr>
          <w:kern w:val="28"/>
        </w:rPr>
        <w:t xml:space="preserve">. </w:t>
      </w:r>
      <w:r w:rsidRPr="00905F0D">
        <w:rPr>
          <w:kern w:val="28"/>
        </w:rPr>
        <w:t>Одобрен Советом Республики 20 декабря 2006 года</w:t>
      </w:r>
      <w:r w:rsidR="00905F0D" w:rsidRPr="00905F0D">
        <w:rPr>
          <w:kern w:val="28"/>
        </w:rPr>
        <w:t>.</w:t>
      </w:r>
      <w:r w:rsidR="00905F0D">
        <w:rPr>
          <w:kern w:val="28"/>
        </w:rPr>
        <w:t xml:space="preserve"> (</w:t>
      </w:r>
      <w:r w:rsidRPr="00905F0D">
        <w:rPr>
          <w:kern w:val="28"/>
        </w:rPr>
        <w:t>Национальный реестр правовых актов Республики Беларусь, 24</w:t>
      </w:r>
      <w:r w:rsidR="00905F0D">
        <w:rPr>
          <w:kern w:val="28"/>
        </w:rPr>
        <w:t>.01.20</w:t>
      </w:r>
      <w:r w:rsidRPr="00905F0D">
        <w:rPr>
          <w:kern w:val="28"/>
        </w:rPr>
        <w:t>07, № 17, рег</w:t>
      </w:r>
      <w:r w:rsidR="00905F0D" w:rsidRPr="00905F0D">
        <w:rPr>
          <w:kern w:val="28"/>
        </w:rPr>
        <w:t xml:space="preserve">. </w:t>
      </w:r>
      <w:r w:rsidRPr="00905F0D">
        <w:rPr>
          <w:kern w:val="28"/>
        </w:rPr>
        <w:t>№ 2/1301 от 11</w:t>
      </w:r>
      <w:r w:rsidR="00905F0D">
        <w:rPr>
          <w:kern w:val="28"/>
        </w:rPr>
        <w:t>.01.20</w:t>
      </w:r>
      <w:r w:rsidRPr="00905F0D">
        <w:rPr>
          <w:kern w:val="28"/>
        </w:rPr>
        <w:t>07</w:t>
      </w:r>
      <w:r w:rsidR="00905F0D" w:rsidRPr="00905F0D">
        <w:rPr>
          <w:kern w:val="28"/>
        </w:rPr>
        <w:t xml:space="preserve">). </w:t>
      </w:r>
      <w:r w:rsidRPr="00905F0D">
        <w:rPr>
          <w:kern w:val="28"/>
        </w:rPr>
        <w:t>Юридическая база</w:t>
      </w:r>
      <w:r w:rsidR="00905F0D">
        <w:rPr>
          <w:kern w:val="28"/>
        </w:rPr>
        <w:t xml:space="preserve"> "</w:t>
      </w:r>
      <w:r w:rsidRPr="00905F0D">
        <w:rPr>
          <w:kern w:val="28"/>
        </w:rPr>
        <w:t>ЮСИАС</w:t>
      </w:r>
      <w:r w:rsidR="00905F0D">
        <w:rPr>
          <w:kern w:val="28"/>
        </w:rPr>
        <w:t xml:space="preserve">" </w:t>
      </w:r>
      <w:r w:rsidRPr="00905F0D">
        <w:rPr>
          <w:kern w:val="28"/>
        </w:rPr>
        <w:t>2008г</w:t>
      </w:r>
      <w:r w:rsidR="00905F0D" w:rsidRPr="00905F0D">
        <w:rPr>
          <w:kern w:val="28"/>
        </w:rPr>
        <w:t>.</w:t>
      </w:r>
    </w:p>
    <w:p w:rsidR="00905F0D" w:rsidRDefault="00891AB0" w:rsidP="00905F0D">
      <w:pPr>
        <w:pStyle w:val="a0"/>
        <w:rPr>
          <w:kern w:val="28"/>
        </w:rPr>
      </w:pPr>
      <w:r w:rsidRPr="00905F0D">
        <w:rPr>
          <w:kern w:val="28"/>
        </w:rPr>
        <w:t>Козырин А</w:t>
      </w:r>
      <w:r w:rsidR="00905F0D">
        <w:rPr>
          <w:kern w:val="28"/>
        </w:rPr>
        <w:t xml:space="preserve">.Н. </w:t>
      </w:r>
      <w:r w:rsidRPr="00905F0D">
        <w:rPr>
          <w:kern w:val="28"/>
        </w:rPr>
        <w:t>Таможенное право России</w:t>
      </w:r>
      <w:r w:rsidR="00905F0D" w:rsidRPr="00905F0D">
        <w:rPr>
          <w:kern w:val="28"/>
        </w:rPr>
        <w:t xml:space="preserve">: </w:t>
      </w:r>
      <w:r w:rsidRPr="00905F0D">
        <w:rPr>
          <w:kern w:val="28"/>
        </w:rPr>
        <w:t>Учеб</w:t>
      </w:r>
      <w:r w:rsidR="00905F0D" w:rsidRPr="00905F0D">
        <w:rPr>
          <w:kern w:val="28"/>
        </w:rPr>
        <w:t xml:space="preserve">. </w:t>
      </w:r>
      <w:r w:rsidRPr="00905F0D">
        <w:rPr>
          <w:kern w:val="28"/>
        </w:rPr>
        <w:t>Пособие</w:t>
      </w:r>
      <w:r w:rsidR="00905F0D" w:rsidRPr="00905F0D">
        <w:rPr>
          <w:kern w:val="28"/>
        </w:rPr>
        <w:t xml:space="preserve">. </w:t>
      </w:r>
      <w:r w:rsidRPr="00905F0D">
        <w:rPr>
          <w:kern w:val="28"/>
        </w:rPr>
        <w:t>М</w:t>
      </w:r>
      <w:r w:rsidR="00905F0D">
        <w:rPr>
          <w:kern w:val="28"/>
        </w:rPr>
        <w:t>.:</w:t>
      </w:r>
      <w:r w:rsidR="00905F0D" w:rsidRPr="00905F0D">
        <w:rPr>
          <w:kern w:val="28"/>
        </w:rPr>
        <w:t xml:space="preserve"> </w:t>
      </w:r>
      <w:r w:rsidRPr="00905F0D">
        <w:rPr>
          <w:kern w:val="28"/>
        </w:rPr>
        <w:t>СПАРК, 2004г</w:t>
      </w:r>
      <w:r w:rsidR="00905F0D" w:rsidRPr="00905F0D">
        <w:rPr>
          <w:kern w:val="28"/>
        </w:rPr>
        <w:t>.</w:t>
      </w:r>
    </w:p>
    <w:p w:rsidR="00905F0D" w:rsidRDefault="00891AB0" w:rsidP="00905F0D">
      <w:pPr>
        <w:pStyle w:val="a0"/>
        <w:rPr>
          <w:kern w:val="28"/>
        </w:rPr>
      </w:pPr>
      <w:r w:rsidRPr="00905F0D">
        <w:rPr>
          <w:kern w:val="28"/>
        </w:rPr>
        <w:t>Основы таможенного дела</w:t>
      </w:r>
      <w:r w:rsidR="00905F0D" w:rsidRPr="00905F0D">
        <w:rPr>
          <w:kern w:val="28"/>
        </w:rPr>
        <w:t xml:space="preserve">: </w:t>
      </w:r>
      <w:r w:rsidRPr="00905F0D">
        <w:rPr>
          <w:kern w:val="28"/>
        </w:rPr>
        <w:t>Учеб</w:t>
      </w:r>
      <w:r w:rsidR="00905F0D" w:rsidRPr="00905F0D">
        <w:rPr>
          <w:kern w:val="28"/>
        </w:rPr>
        <w:t xml:space="preserve">. </w:t>
      </w:r>
      <w:r w:rsidRPr="00905F0D">
        <w:rPr>
          <w:kern w:val="28"/>
        </w:rPr>
        <w:t>Пособие в 7 вып</w:t>
      </w:r>
      <w:r w:rsidR="00905F0D" w:rsidRPr="00905F0D">
        <w:rPr>
          <w:kern w:val="28"/>
        </w:rPr>
        <w:t xml:space="preserve">. </w:t>
      </w:r>
      <w:r w:rsidRPr="00905F0D">
        <w:rPr>
          <w:kern w:val="28"/>
        </w:rPr>
        <w:t>Вып</w:t>
      </w:r>
      <w:r w:rsidR="00905F0D">
        <w:rPr>
          <w:kern w:val="28"/>
        </w:rPr>
        <w:t>.1</w:t>
      </w:r>
      <w:r w:rsidR="00905F0D" w:rsidRPr="00905F0D">
        <w:rPr>
          <w:kern w:val="28"/>
        </w:rPr>
        <w:t xml:space="preserve">: </w:t>
      </w:r>
      <w:r w:rsidRPr="00905F0D">
        <w:rPr>
          <w:kern w:val="28"/>
        </w:rPr>
        <w:t>Развитие таможенного дела в России / Науч</w:t>
      </w:r>
      <w:r w:rsidR="00905F0D" w:rsidRPr="00905F0D">
        <w:rPr>
          <w:kern w:val="28"/>
        </w:rPr>
        <w:t xml:space="preserve">. </w:t>
      </w:r>
      <w:r w:rsidR="006565A4">
        <w:rPr>
          <w:kern w:val="28"/>
        </w:rPr>
        <w:t>р</w:t>
      </w:r>
      <w:r w:rsidRPr="00905F0D">
        <w:rPr>
          <w:kern w:val="28"/>
        </w:rPr>
        <w:t>ед</w:t>
      </w:r>
      <w:r w:rsidR="00905F0D" w:rsidRPr="00905F0D">
        <w:rPr>
          <w:kern w:val="28"/>
        </w:rPr>
        <w:t xml:space="preserve">. </w:t>
      </w:r>
      <w:r w:rsidRPr="00905F0D">
        <w:rPr>
          <w:kern w:val="28"/>
        </w:rPr>
        <w:t>П</w:t>
      </w:r>
      <w:r w:rsidR="00905F0D">
        <w:rPr>
          <w:kern w:val="28"/>
        </w:rPr>
        <w:t xml:space="preserve">.В. </w:t>
      </w:r>
      <w:r w:rsidRPr="00905F0D">
        <w:rPr>
          <w:kern w:val="28"/>
        </w:rPr>
        <w:t>Дзюбенко</w:t>
      </w:r>
      <w:r w:rsidR="00905F0D">
        <w:rPr>
          <w:kern w:val="28"/>
        </w:rPr>
        <w:t>.</w:t>
      </w:r>
      <w:r w:rsidR="006565A4">
        <w:rPr>
          <w:kern w:val="28"/>
        </w:rPr>
        <w:t xml:space="preserve"> </w:t>
      </w:r>
      <w:r w:rsidR="00905F0D">
        <w:rPr>
          <w:kern w:val="28"/>
        </w:rPr>
        <w:t xml:space="preserve">М., </w:t>
      </w:r>
      <w:r w:rsidRPr="00905F0D">
        <w:rPr>
          <w:kern w:val="28"/>
        </w:rPr>
        <w:t>РИО РТА, 2001</w:t>
      </w:r>
      <w:r w:rsidR="00905F0D" w:rsidRPr="00905F0D">
        <w:rPr>
          <w:kern w:val="28"/>
        </w:rPr>
        <w:t>.</w:t>
      </w:r>
    </w:p>
    <w:p w:rsidR="00905F0D" w:rsidRDefault="00891AB0" w:rsidP="00905F0D">
      <w:pPr>
        <w:pStyle w:val="a0"/>
        <w:rPr>
          <w:kern w:val="28"/>
        </w:rPr>
      </w:pPr>
      <w:r w:rsidRPr="00905F0D">
        <w:rPr>
          <w:kern w:val="28"/>
        </w:rPr>
        <w:t>Основы таможенного дела</w:t>
      </w:r>
      <w:r w:rsidR="00905F0D" w:rsidRPr="00905F0D">
        <w:rPr>
          <w:kern w:val="28"/>
        </w:rPr>
        <w:t xml:space="preserve">: </w:t>
      </w:r>
      <w:r w:rsidRPr="00905F0D">
        <w:rPr>
          <w:kern w:val="28"/>
        </w:rPr>
        <w:t>Учеб</w:t>
      </w:r>
      <w:r w:rsidR="00905F0D" w:rsidRPr="00905F0D">
        <w:rPr>
          <w:kern w:val="28"/>
        </w:rPr>
        <w:t xml:space="preserve">. </w:t>
      </w:r>
      <w:r w:rsidRPr="00905F0D">
        <w:rPr>
          <w:kern w:val="28"/>
        </w:rPr>
        <w:t>Пособие в 7 вып</w:t>
      </w:r>
      <w:r w:rsidR="00905F0D" w:rsidRPr="00905F0D">
        <w:rPr>
          <w:kern w:val="28"/>
        </w:rPr>
        <w:t xml:space="preserve">. </w:t>
      </w:r>
      <w:r w:rsidRPr="00905F0D">
        <w:rPr>
          <w:kern w:val="28"/>
        </w:rPr>
        <w:t>Вып 4</w:t>
      </w:r>
      <w:r w:rsidR="00905F0D" w:rsidRPr="00905F0D">
        <w:rPr>
          <w:kern w:val="28"/>
        </w:rPr>
        <w:t xml:space="preserve">: </w:t>
      </w:r>
      <w:r w:rsidRPr="00905F0D">
        <w:rPr>
          <w:kern w:val="28"/>
        </w:rPr>
        <w:t>Правовое регулирование таможенного дела / Ю</w:t>
      </w:r>
      <w:r w:rsidR="00905F0D">
        <w:rPr>
          <w:kern w:val="28"/>
        </w:rPr>
        <w:t xml:space="preserve">.В. </w:t>
      </w:r>
      <w:r w:rsidRPr="00905F0D">
        <w:rPr>
          <w:kern w:val="28"/>
        </w:rPr>
        <w:t>Воробьев, Под общ</w:t>
      </w:r>
      <w:r w:rsidR="00905F0D" w:rsidRPr="00905F0D">
        <w:rPr>
          <w:kern w:val="28"/>
        </w:rPr>
        <w:t xml:space="preserve">. </w:t>
      </w:r>
      <w:r w:rsidRPr="00905F0D">
        <w:rPr>
          <w:kern w:val="28"/>
        </w:rPr>
        <w:t>ред</w:t>
      </w:r>
      <w:r w:rsidR="00905F0D">
        <w:rPr>
          <w:kern w:val="28"/>
        </w:rPr>
        <w:t xml:space="preserve">.В.А. </w:t>
      </w:r>
      <w:r w:rsidRPr="00905F0D">
        <w:rPr>
          <w:kern w:val="28"/>
        </w:rPr>
        <w:t>Максимцева</w:t>
      </w:r>
      <w:r w:rsidR="00905F0D">
        <w:rPr>
          <w:kern w:val="28"/>
        </w:rPr>
        <w:t>.</w:t>
      </w:r>
      <w:r w:rsidR="006565A4">
        <w:rPr>
          <w:kern w:val="28"/>
        </w:rPr>
        <w:t xml:space="preserve"> </w:t>
      </w:r>
      <w:r w:rsidR="00905F0D">
        <w:rPr>
          <w:kern w:val="28"/>
        </w:rPr>
        <w:t xml:space="preserve">М., </w:t>
      </w:r>
      <w:r w:rsidRPr="00905F0D">
        <w:rPr>
          <w:kern w:val="28"/>
        </w:rPr>
        <w:t>РИО РТА, 2002</w:t>
      </w:r>
      <w:r w:rsidR="00905F0D" w:rsidRPr="00905F0D">
        <w:rPr>
          <w:kern w:val="28"/>
        </w:rPr>
        <w:t>.</w:t>
      </w:r>
    </w:p>
    <w:p w:rsidR="00905F0D" w:rsidRDefault="00891AB0" w:rsidP="00905F0D">
      <w:pPr>
        <w:pStyle w:val="a0"/>
        <w:rPr>
          <w:kern w:val="28"/>
        </w:rPr>
      </w:pPr>
      <w:r w:rsidRPr="00905F0D">
        <w:rPr>
          <w:kern w:val="28"/>
        </w:rPr>
        <w:t>Таможенное право Республики Беларусь</w:t>
      </w:r>
      <w:r w:rsidR="00905F0D" w:rsidRPr="00905F0D">
        <w:rPr>
          <w:kern w:val="28"/>
        </w:rPr>
        <w:t xml:space="preserve">. </w:t>
      </w:r>
      <w:r w:rsidRPr="00905F0D">
        <w:rPr>
          <w:kern w:val="28"/>
        </w:rPr>
        <w:t>Черевченко Н</w:t>
      </w:r>
      <w:r w:rsidR="00905F0D" w:rsidRPr="00905F0D">
        <w:rPr>
          <w:kern w:val="28"/>
        </w:rPr>
        <w:t xml:space="preserve">. </w:t>
      </w:r>
      <w:r w:rsidRPr="00905F0D">
        <w:rPr>
          <w:kern w:val="28"/>
        </w:rPr>
        <w:t>В</w:t>
      </w:r>
      <w:r w:rsidR="00905F0D">
        <w:rPr>
          <w:kern w:val="28"/>
        </w:rPr>
        <w:t>.;</w:t>
      </w:r>
      <w:r w:rsidR="00905F0D" w:rsidRPr="00905F0D">
        <w:rPr>
          <w:kern w:val="28"/>
        </w:rPr>
        <w:t xml:space="preserve"> </w:t>
      </w:r>
      <w:r w:rsidRPr="00905F0D">
        <w:rPr>
          <w:kern w:val="28"/>
        </w:rPr>
        <w:t>2007г</w:t>
      </w:r>
      <w:r w:rsidR="00905F0D">
        <w:rPr>
          <w:kern w:val="28"/>
        </w:rPr>
        <w:t>.,</w:t>
      </w:r>
      <w:r w:rsidRPr="00905F0D">
        <w:rPr>
          <w:kern w:val="28"/>
        </w:rPr>
        <w:t xml:space="preserve"> 300с</w:t>
      </w:r>
      <w:r w:rsidR="00905F0D" w:rsidRPr="00905F0D">
        <w:rPr>
          <w:kern w:val="28"/>
        </w:rPr>
        <w:t>.</w:t>
      </w:r>
    </w:p>
    <w:p w:rsidR="00AD3425" w:rsidRPr="00905F0D" w:rsidRDefault="00AD3425" w:rsidP="00905F0D">
      <w:bookmarkStart w:id="0" w:name="_GoBack"/>
      <w:bookmarkEnd w:id="0"/>
    </w:p>
    <w:sectPr w:rsidR="00AD3425" w:rsidRPr="00905F0D" w:rsidSect="00905F0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D53" w:rsidRDefault="00E80D53">
      <w:r>
        <w:separator/>
      </w:r>
    </w:p>
  </w:endnote>
  <w:endnote w:type="continuationSeparator" w:id="0">
    <w:p w:rsidR="00E80D53" w:rsidRDefault="00E8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F0D" w:rsidRDefault="00905F0D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F0D" w:rsidRDefault="00905F0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D53" w:rsidRDefault="00E80D53">
      <w:r>
        <w:separator/>
      </w:r>
    </w:p>
  </w:footnote>
  <w:footnote w:type="continuationSeparator" w:id="0">
    <w:p w:rsidR="00E80D53" w:rsidRDefault="00E80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F0D" w:rsidRDefault="006D6D76" w:rsidP="00107DA1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905F0D" w:rsidRDefault="00905F0D" w:rsidP="00706D9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F0D" w:rsidRDefault="00905F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413EF7"/>
    <w:multiLevelType w:val="singleLevel"/>
    <w:tmpl w:val="D47E8F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/>
        <w:b w:val="0"/>
        <w:bCs w:val="0"/>
        <w:i w:val="0"/>
        <w:iCs w:val="0"/>
        <w:sz w:val="28"/>
        <w:szCs w:val="28"/>
      </w:rPr>
    </w:lvl>
  </w:abstractNum>
  <w:abstractNum w:abstractNumId="2">
    <w:nsid w:val="22CF0590"/>
    <w:multiLevelType w:val="multilevel"/>
    <w:tmpl w:val="6F85C8B5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D9E"/>
    <w:rsid w:val="00107DA1"/>
    <w:rsid w:val="001E7EA2"/>
    <w:rsid w:val="004A4C79"/>
    <w:rsid w:val="006565A4"/>
    <w:rsid w:val="006D6D76"/>
    <w:rsid w:val="00706D9E"/>
    <w:rsid w:val="00891AB0"/>
    <w:rsid w:val="0089420F"/>
    <w:rsid w:val="00905F0D"/>
    <w:rsid w:val="00AD3425"/>
    <w:rsid w:val="00CE697C"/>
    <w:rsid w:val="00D7226E"/>
    <w:rsid w:val="00E80D53"/>
    <w:rsid w:val="00F0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068F78-FCBF-4A84-88F7-7E561AF6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05F0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05F0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05F0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05F0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05F0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05F0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05F0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05F0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05F0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Indent"/>
    <w:basedOn w:val="a2"/>
    <w:uiPriority w:val="99"/>
    <w:rsid w:val="00AD3425"/>
    <w:pPr>
      <w:ind w:left="708"/>
      <w:jc w:val="center"/>
    </w:pPr>
    <w:rPr>
      <w:b/>
      <w:bCs/>
    </w:rPr>
  </w:style>
  <w:style w:type="paragraph" w:styleId="a7">
    <w:name w:val="header"/>
    <w:basedOn w:val="a2"/>
    <w:next w:val="a8"/>
    <w:link w:val="a9"/>
    <w:uiPriority w:val="99"/>
    <w:rsid w:val="00905F0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905F0D"/>
    <w:rPr>
      <w:vertAlign w:val="superscript"/>
    </w:rPr>
  </w:style>
  <w:style w:type="character" w:styleId="ab">
    <w:name w:val="page number"/>
    <w:uiPriority w:val="99"/>
    <w:rsid w:val="00905F0D"/>
  </w:style>
  <w:style w:type="paragraph" w:styleId="HTML">
    <w:name w:val="HTML Preformatted"/>
    <w:basedOn w:val="a2"/>
    <w:link w:val="HTML0"/>
    <w:uiPriority w:val="99"/>
    <w:rsid w:val="00891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table" w:styleId="-1">
    <w:name w:val="Table Web 1"/>
    <w:basedOn w:val="a4"/>
    <w:uiPriority w:val="99"/>
    <w:rsid w:val="00905F0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c"/>
    <w:uiPriority w:val="99"/>
    <w:rsid w:val="00905F0D"/>
    <w:pPr>
      <w:ind w:firstLine="0"/>
    </w:pPr>
  </w:style>
  <w:style w:type="character" w:customStyle="1" w:styleId="ac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905F0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905F0D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905F0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905F0D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905F0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905F0D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905F0D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905F0D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905F0D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905F0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05F0D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905F0D"/>
    <w:rPr>
      <w:sz w:val="28"/>
      <w:szCs w:val="28"/>
    </w:rPr>
  </w:style>
  <w:style w:type="paragraph" w:styleId="af7">
    <w:name w:val="Normal (Web)"/>
    <w:basedOn w:val="a2"/>
    <w:uiPriority w:val="99"/>
    <w:rsid w:val="00905F0D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05F0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05F0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05F0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05F0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05F0D"/>
    <w:pPr>
      <w:ind w:left="958"/>
    </w:pPr>
  </w:style>
  <w:style w:type="paragraph" w:styleId="23">
    <w:name w:val="Body Text Indent 2"/>
    <w:basedOn w:val="a2"/>
    <w:link w:val="24"/>
    <w:uiPriority w:val="99"/>
    <w:rsid w:val="00905F0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05F0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905F0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905F0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05F0D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05F0D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05F0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05F0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05F0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05F0D"/>
    <w:rPr>
      <w:i/>
      <w:iCs/>
    </w:rPr>
  </w:style>
  <w:style w:type="paragraph" w:customStyle="1" w:styleId="afa">
    <w:name w:val="ТАБЛИЦА"/>
    <w:next w:val="a2"/>
    <w:autoRedefine/>
    <w:uiPriority w:val="99"/>
    <w:rsid w:val="00905F0D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905F0D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905F0D"/>
  </w:style>
  <w:style w:type="table" w:customStyle="1" w:styleId="15">
    <w:name w:val="Стиль таблицы1"/>
    <w:uiPriority w:val="99"/>
    <w:rsid w:val="00905F0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905F0D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905F0D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905F0D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905F0D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905F0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ОСУЩЕСТВЛЕНИЕ РАСЧЕТОВ ПРИ ЭКСПОРТЕ</vt:lpstr>
    </vt:vector>
  </TitlesOfParts>
  <Company>Microsoft</Company>
  <LinksUpToDate>false</LinksUpToDate>
  <CharactersWithSpaces>16772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ОСУЩЕСТВЛЕНИЕ РАСЧЕТОВ ПРИ ЭКСПОРТЕ</dc:title>
  <dc:subject/>
  <dc:creator>Admin</dc:creator>
  <cp:keywords/>
  <dc:description/>
  <cp:lastModifiedBy>admin</cp:lastModifiedBy>
  <cp:revision>2</cp:revision>
  <dcterms:created xsi:type="dcterms:W3CDTF">2014-03-06T16:31:00Z</dcterms:created>
  <dcterms:modified xsi:type="dcterms:W3CDTF">2014-03-06T16:31:00Z</dcterms:modified>
</cp:coreProperties>
</file>