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15" w:rsidRPr="00D02ECE" w:rsidRDefault="00D02ECE" w:rsidP="00D02ECE">
      <w:pPr>
        <w:autoSpaceDE w:val="0"/>
        <w:autoSpaceDN w:val="0"/>
        <w:adjustRightInd w:val="0"/>
        <w:spacing w:line="360" w:lineRule="auto"/>
        <w:ind w:firstLine="709"/>
        <w:jc w:val="both"/>
        <w:rPr>
          <w:b/>
          <w:iCs/>
          <w:color w:val="000000"/>
          <w:sz w:val="28"/>
          <w:szCs w:val="28"/>
        </w:rPr>
      </w:pPr>
      <w:r w:rsidRPr="00D02ECE">
        <w:rPr>
          <w:b/>
          <w:iCs/>
          <w:color w:val="000000"/>
          <w:sz w:val="28"/>
          <w:szCs w:val="28"/>
        </w:rPr>
        <w:t>Введение</w:t>
      </w:r>
    </w:p>
    <w:p w:rsidR="003D4615" w:rsidRPr="00D02ECE" w:rsidRDefault="003D4615" w:rsidP="00D02ECE">
      <w:pPr>
        <w:autoSpaceDE w:val="0"/>
        <w:autoSpaceDN w:val="0"/>
        <w:adjustRightInd w:val="0"/>
        <w:spacing w:line="360" w:lineRule="auto"/>
        <w:ind w:firstLine="709"/>
        <w:jc w:val="both"/>
        <w:rPr>
          <w:iCs/>
          <w:color w:val="000000"/>
          <w:sz w:val="28"/>
          <w:szCs w:val="28"/>
        </w:rPr>
      </w:pPr>
    </w:p>
    <w:p w:rsidR="003D4615" w:rsidRPr="00D02ECE" w:rsidRDefault="003D4615" w:rsidP="00D02ECE">
      <w:pPr>
        <w:autoSpaceDE w:val="0"/>
        <w:autoSpaceDN w:val="0"/>
        <w:adjustRightInd w:val="0"/>
        <w:spacing w:line="360" w:lineRule="auto"/>
        <w:ind w:firstLine="709"/>
        <w:jc w:val="both"/>
        <w:rPr>
          <w:iCs/>
          <w:color w:val="000000"/>
          <w:sz w:val="28"/>
          <w:szCs w:val="28"/>
        </w:rPr>
      </w:pPr>
      <w:r w:rsidRPr="00D02ECE">
        <w:rPr>
          <w:iCs/>
          <w:color w:val="000000"/>
          <w:sz w:val="28"/>
          <w:szCs w:val="28"/>
        </w:rPr>
        <w:t>В работе рассмотрена необходимость расчета банками своей общей открытой валютной позиции, установление ее ограничений, определены существующие проблемы с концепцией НБУ относительно методики расчета общей валютной позиции банка.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Каждый уполномоченный</w:t>
      </w:r>
      <w:r w:rsidRPr="00D02ECE">
        <w:rPr>
          <w:color w:val="000000"/>
          <w:sz w:val="28"/>
          <w:szCs w:val="28"/>
          <w:lang w:val="uk-UA"/>
        </w:rPr>
        <w:t xml:space="preserve"> банк</w:t>
      </w:r>
      <w:r w:rsidRPr="00D02ECE">
        <w:rPr>
          <w:color w:val="000000"/>
          <w:sz w:val="28"/>
          <w:szCs w:val="28"/>
        </w:rPr>
        <w:t xml:space="preserve"> Украины</w:t>
      </w:r>
      <w:r w:rsidRPr="00D02ECE">
        <w:rPr>
          <w:color w:val="000000"/>
          <w:sz w:val="28"/>
          <w:szCs w:val="28"/>
          <w:lang w:val="uk-UA"/>
        </w:rPr>
        <w:t xml:space="preserve"> в</w:t>
      </w:r>
      <w:r w:rsidRPr="00D02ECE">
        <w:rPr>
          <w:color w:val="000000"/>
          <w:sz w:val="28"/>
          <w:szCs w:val="28"/>
        </w:rPr>
        <w:t xml:space="preserve"> процессе своей деятельности ежедневно выполняет целый ряд валютных операций в каких-либо валютах и банковских металлах, которые создают ему обязательства и требования к его клиентам и корреспондентам в соответствующих валютах, что формирует его валютную позицию. Например, если уполномоченный банк приобрел в течение дня у своего банка-корреспондента в Лондоне 10000 фунтов стерлингов за доллары США по курсу 2 доллара за 1 фунт стерлингов, то обязательства уполномоченного банка перед Лондонским банком составляют 20000 дол., а требования </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10000 фунтов стерлингов. Соответственно, если в течение этого дня больше не было других операций с валютой, то банк в конце этого рабочего дня имеет две открытые индивидуальные валютные позиции по двум валютам: длинную валютную позицию по фунтам стерлингов в сумме +10000 фунтов стерлингов (поскольку требования банка по фунтам стерлингов превышают его обязательства в этой валюте, что в мировой практике определяется знаком </w:t>
      </w:r>
      <w:r w:rsidR="00D02ECE">
        <w:rPr>
          <w:color w:val="000000"/>
          <w:sz w:val="28"/>
          <w:szCs w:val="28"/>
        </w:rPr>
        <w:t>«</w:t>
      </w:r>
      <w:r w:rsidR="00D02ECE" w:rsidRPr="00D02ECE">
        <w:rPr>
          <w:color w:val="000000"/>
          <w:sz w:val="28"/>
          <w:szCs w:val="28"/>
        </w:rPr>
        <w:t>+</w:t>
      </w:r>
      <w:r w:rsidR="00D02ECE">
        <w:rPr>
          <w:color w:val="000000"/>
          <w:sz w:val="28"/>
          <w:szCs w:val="28"/>
        </w:rPr>
        <w:t>»</w:t>
      </w:r>
      <w:r w:rsidR="00D02ECE" w:rsidRPr="00D02ECE">
        <w:rPr>
          <w:color w:val="000000"/>
          <w:sz w:val="28"/>
          <w:szCs w:val="28"/>
        </w:rPr>
        <w:t>)</w:t>
      </w:r>
      <w:r w:rsidRPr="00D02ECE">
        <w:rPr>
          <w:color w:val="000000"/>
          <w:sz w:val="28"/>
          <w:szCs w:val="28"/>
        </w:rPr>
        <w:t xml:space="preserve"> и короткую валютную позицию по долларам в сумме -20000 долларов (поскольку обязательства банка по долларам превышают его требования по этой валюте, что, соответственно, определяется знаком</w:t>
      </w:r>
      <w:r w:rsidR="00D02ECE">
        <w:rPr>
          <w:color w:val="000000"/>
          <w:sz w:val="28"/>
          <w:szCs w:val="28"/>
        </w:rPr>
        <w:t>» –»</w:t>
      </w:r>
      <w:r w:rsidR="00D02ECE" w:rsidRPr="00D02ECE">
        <w:rPr>
          <w:color w:val="000000"/>
          <w:sz w:val="28"/>
          <w:szCs w:val="28"/>
        </w:rPr>
        <w:t>)</w:t>
      </w:r>
      <w:r w:rsidRPr="00D02ECE">
        <w:rPr>
          <w:color w:val="000000"/>
          <w:sz w:val="28"/>
          <w:szCs w:val="28"/>
        </w:rPr>
        <w:t>.</w:t>
      </w:r>
    </w:p>
    <w:p w:rsidR="003D4615" w:rsidRDefault="003D4615" w:rsidP="00D02ECE">
      <w:pPr>
        <w:spacing w:line="360" w:lineRule="auto"/>
        <w:ind w:firstLine="709"/>
        <w:jc w:val="both"/>
        <w:rPr>
          <w:color w:val="000000"/>
          <w:sz w:val="28"/>
          <w:szCs w:val="28"/>
        </w:rPr>
      </w:pPr>
      <w:r w:rsidRPr="00D02ECE">
        <w:rPr>
          <w:color w:val="000000"/>
          <w:sz w:val="28"/>
          <w:szCs w:val="28"/>
        </w:rPr>
        <w:t>Понятно, что по всем операциям, которые проводит банк в течение рабочего дня в разных валютах и банковских металлах, у него возникают длинные и короткие индивидуальные открытые валютные позиции по соответствующим валютам и металлам. Однако для определения в конце рабочего дня своей общей открытой валютной позиции по всем валютам и банковским металлам банку необходимо, прежде всего, привести все индивидуальные открытые валютные позиции по всем валютам и банковским металлам к одному знаменателю, то есть выразить их в одном, например гривневом, эквиваленте. И только после этого банк имеет возможность определить величину созданной им за рабочий день общей открытой валютной позиции (в гривневом эквиваленте) и свой общий риск по проведенным за день валютным операциям. Причем наличие определяющего знака длинной (+) и короткой (</w:t>
      </w:r>
      <w:r w:rsidR="00D02ECE">
        <w:rPr>
          <w:color w:val="000000"/>
          <w:sz w:val="28"/>
          <w:szCs w:val="28"/>
        </w:rPr>
        <w:t>–</w:t>
      </w:r>
      <w:r w:rsidR="00D02ECE" w:rsidRPr="00D02ECE">
        <w:rPr>
          <w:color w:val="000000"/>
          <w:sz w:val="28"/>
          <w:szCs w:val="28"/>
        </w:rPr>
        <w:t>)</w:t>
      </w:r>
      <w:r w:rsidRPr="00D02ECE">
        <w:rPr>
          <w:color w:val="000000"/>
          <w:sz w:val="28"/>
          <w:szCs w:val="28"/>
        </w:rPr>
        <w:t xml:space="preserve"> общей валютной позиции свидетельствует о том, что она всегда определяется с учетом знака и всегда отражает общее превышение длинных валютных позиций перед короткими (или наоборот), и именно поэтому устанавливает общее место банка (кредитора или должника) на валютном рынке. Например, если 10000 фунтов стерлингов по курсу НБУ на 1 января 2010</w:t>
      </w:r>
      <w:r w:rsidR="00D02ECE">
        <w:rPr>
          <w:color w:val="000000"/>
          <w:sz w:val="28"/>
          <w:szCs w:val="28"/>
        </w:rPr>
        <w:t> </w:t>
      </w:r>
      <w:r w:rsidR="00D02ECE" w:rsidRPr="00D02ECE">
        <w:rPr>
          <w:color w:val="000000"/>
          <w:sz w:val="28"/>
          <w:szCs w:val="28"/>
        </w:rPr>
        <w:t>г</w:t>
      </w:r>
      <w:r w:rsidRPr="00D02ECE">
        <w:rPr>
          <w:color w:val="000000"/>
          <w:sz w:val="28"/>
          <w:szCs w:val="28"/>
        </w:rPr>
        <w:t>. составляют 126647,05 грн., а 20000 долларов -159700,0 грн., то общая открытая валютная позиция банка в гривневом эквиваленте (как разница между длинной и короткой индивидуальными валютными позициями) составляет минус 33052,95 грн., то есть короткая.</w:t>
      </w:r>
    </w:p>
    <w:p w:rsidR="00D02ECE" w:rsidRDefault="00D02ECE" w:rsidP="00D02ECE">
      <w:pPr>
        <w:spacing w:line="360" w:lineRule="auto"/>
        <w:ind w:firstLine="709"/>
        <w:jc w:val="both"/>
        <w:rPr>
          <w:color w:val="000000"/>
          <w:sz w:val="28"/>
          <w:szCs w:val="28"/>
        </w:rPr>
      </w:pPr>
    </w:p>
    <w:p w:rsidR="00D02ECE" w:rsidRPr="00D02ECE" w:rsidRDefault="00D02ECE" w:rsidP="00D02ECE">
      <w:pPr>
        <w:spacing w:line="360" w:lineRule="auto"/>
        <w:ind w:firstLine="709"/>
        <w:jc w:val="both"/>
        <w:rPr>
          <w:color w:val="000000"/>
          <w:sz w:val="28"/>
          <w:szCs w:val="28"/>
        </w:rPr>
      </w:pPr>
    </w:p>
    <w:p w:rsidR="00536D10" w:rsidRPr="00D02ECE" w:rsidRDefault="003D4615" w:rsidP="00536D10">
      <w:pPr>
        <w:spacing w:line="360" w:lineRule="auto"/>
        <w:ind w:firstLine="741"/>
        <w:jc w:val="both"/>
        <w:rPr>
          <w:b/>
          <w:color w:val="000000"/>
          <w:sz w:val="28"/>
          <w:szCs w:val="28"/>
        </w:rPr>
      </w:pPr>
      <w:r w:rsidRPr="00D02ECE">
        <w:rPr>
          <w:color w:val="000000"/>
          <w:sz w:val="28"/>
          <w:szCs w:val="28"/>
        </w:rPr>
        <w:br w:type="page"/>
      </w:r>
      <w:r w:rsidR="00536D10" w:rsidRPr="00D02ECE">
        <w:rPr>
          <w:b/>
          <w:color w:val="000000"/>
          <w:sz w:val="28"/>
          <w:szCs w:val="28"/>
        </w:rPr>
        <w:t>Открытая валютная позиция банка, ее сущность, необходимость и действия НБУ по ее определению и использованию</w:t>
      </w:r>
    </w:p>
    <w:p w:rsidR="00536D10" w:rsidRDefault="00536D10" w:rsidP="00450CEC">
      <w:pPr>
        <w:spacing w:line="360" w:lineRule="auto"/>
        <w:ind w:firstLine="709"/>
        <w:jc w:val="both"/>
        <w:rPr>
          <w:color w:val="000000"/>
          <w:sz w:val="28"/>
          <w:szCs w:val="28"/>
          <w:lang w:val="uk-UA"/>
        </w:rPr>
      </w:pPr>
    </w:p>
    <w:p w:rsidR="003D4615" w:rsidRPr="00D02ECE" w:rsidRDefault="003D4615" w:rsidP="00450CEC">
      <w:pPr>
        <w:spacing w:line="360" w:lineRule="auto"/>
        <w:ind w:firstLine="709"/>
        <w:jc w:val="both"/>
        <w:rPr>
          <w:color w:val="000000"/>
          <w:sz w:val="28"/>
          <w:szCs w:val="28"/>
        </w:rPr>
      </w:pPr>
      <w:r w:rsidRPr="00D02ECE">
        <w:rPr>
          <w:color w:val="000000"/>
          <w:sz w:val="28"/>
          <w:szCs w:val="28"/>
        </w:rPr>
        <w:t xml:space="preserve">Согласно Закону Украины </w:t>
      </w:r>
      <w:r w:rsidR="00D02ECE">
        <w:rPr>
          <w:color w:val="000000"/>
          <w:sz w:val="28"/>
          <w:szCs w:val="28"/>
        </w:rPr>
        <w:t>«</w:t>
      </w:r>
      <w:r w:rsidR="00D02ECE" w:rsidRPr="00D02ECE">
        <w:rPr>
          <w:color w:val="000000"/>
          <w:sz w:val="28"/>
          <w:szCs w:val="28"/>
        </w:rPr>
        <w:t>О</w:t>
      </w:r>
      <w:r w:rsidRPr="00D02ECE">
        <w:rPr>
          <w:color w:val="000000"/>
          <w:sz w:val="28"/>
          <w:szCs w:val="28"/>
        </w:rPr>
        <w:t xml:space="preserve"> НБУ</w:t>
      </w:r>
      <w:r w:rsidR="00D02ECE">
        <w:rPr>
          <w:color w:val="000000"/>
          <w:sz w:val="28"/>
          <w:szCs w:val="28"/>
        </w:rPr>
        <w:t>»</w:t>
      </w:r>
      <w:r w:rsidR="00D02ECE" w:rsidRPr="00D02ECE">
        <w:rPr>
          <w:color w:val="000000"/>
          <w:sz w:val="28"/>
          <w:szCs w:val="28"/>
        </w:rPr>
        <w:t>,</w:t>
      </w:r>
      <w:r w:rsidRPr="00D02ECE">
        <w:rPr>
          <w:color w:val="000000"/>
          <w:sz w:val="28"/>
          <w:szCs w:val="28"/>
        </w:rPr>
        <w:t xml:space="preserve"> валютная позиция уполномоченного банка </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это </w:t>
      </w:r>
      <w:r w:rsidR="00D02ECE">
        <w:rPr>
          <w:color w:val="000000"/>
          <w:sz w:val="28"/>
          <w:szCs w:val="28"/>
        </w:rPr>
        <w:t>«</w:t>
      </w:r>
      <w:r w:rsidR="00D02ECE" w:rsidRPr="00D02ECE">
        <w:rPr>
          <w:color w:val="000000"/>
          <w:sz w:val="28"/>
          <w:szCs w:val="28"/>
        </w:rPr>
        <w:t>с</w:t>
      </w:r>
      <w:r w:rsidRPr="00D02ECE">
        <w:rPr>
          <w:color w:val="000000"/>
          <w:sz w:val="28"/>
          <w:szCs w:val="28"/>
        </w:rPr>
        <w:t xml:space="preserve">оотношение требований и обязательств банка в иностранной валюте. При их равенстве позиция считается закрытой, при неравенстве </w:t>
      </w:r>
      <w:r w:rsidR="00D02ECE">
        <w:rPr>
          <w:color w:val="000000"/>
          <w:sz w:val="28"/>
          <w:szCs w:val="28"/>
        </w:rPr>
        <w:t>–</w:t>
      </w:r>
      <w:r w:rsidR="00D02ECE" w:rsidRPr="00D02ECE">
        <w:rPr>
          <w:color w:val="000000"/>
          <w:sz w:val="28"/>
          <w:szCs w:val="28"/>
        </w:rPr>
        <w:t xml:space="preserve"> </w:t>
      </w:r>
      <w:r w:rsidRPr="00D02ECE">
        <w:rPr>
          <w:color w:val="000000"/>
          <w:sz w:val="28"/>
          <w:szCs w:val="28"/>
        </w:rPr>
        <w:t>открытой. Открытая позиция является короткой в случае, если объем обязательств по проданной валюте превышает объем требований, и длинной, когда объем требований по купленной валюте превышает объем обязательств</w:t>
      </w:r>
      <w:r w:rsidR="00D02ECE">
        <w:rPr>
          <w:color w:val="000000"/>
          <w:sz w:val="28"/>
          <w:szCs w:val="28"/>
        </w:rPr>
        <w:t>»</w:t>
      </w:r>
      <w:r w:rsidR="00D02ECE" w:rsidRPr="00D02ECE">
        <w:rPr>
          <w:color w:val="000000"/>
          <w:sz w:val="28"/>
          <w:szCs w:val="28"/>
        </w:rPr>
        <w:t>.</w:t>
      </w:r>
      <w:r w:rsidRPr="00D02ECE">
        <w:rPr>
          <w:color w:val="000000"/>
          <w:sz w:val="28"/>
          <w:szCs w:val="28"/>
        </w:rPr>
        <w:t xml:space="preserve"> Мировая практика исходит из того, что общая открытая валютная позиция банка является итогом всех индивидуальных (длинных и коротких) открытых валютных позиций по всем операциям банка в иностранных валютах и банковских металлах на конец рабочего дня с учетом знака и поэтому всегда имеет соответствующий итоговый знак </w:t>
      </w:r>
      <w:r w:rsidR="00D02ECE">
        <w:rPr>
          <w:color w:val="000000"/>
          <w:sz w:val="28"/>
          <w:szCs w:val="28"/>
        </w:rPr>
        <w:t>–</w:t>
      </w:r>
      <w:r w:rsidR="00D02ECE" w:rsidRPr="00D02ECE">
        <w:rPr>
          <w:color w:val="000000"/>
          <w:sz w:val="28"/>
          <w:szCs w:val="28"/>
        </w:rPr>
        <w:t xml:space="preserve"> </w:t>
      </w:r>
      <w:r w:rsidR="00D02ECE">
        <w:rPr>
          <w:color w:val="000000"/>
          <w:sz w:val="28"/>
          <w:szCs w:val="28"/>
        </w:rPr>
        <w:t>«</w:t>
      </w:r>
      <w:r w:rsidR="00D02ECE" w:rsidRPr="00D02ECE">
        <w:rPr>
          <w:color w:val="000000"/>
          <w:sz w:val="28"/>
          <w:szCs w:val="28"/>
        </w:rPr>
        <w:t>п</w:t>
      </w:r>
      <w:r w:rsidRPr="00D02ECE">
        <w:rPr>
          <w:color w:val="000000"/>
          <w:sz w:val="28"/>
          <w:szCs w:val="28"/>
        </w:rPr>
        <w:t>люс</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или </w:t>
      </w:r>
      <w:r w:rsidR="00D02ECE">
        <w:rPr>
          <w:color w:val="000000"/>
          <w:sz w:val="28"/>
          <w:szCs w:val="28"/>
        </w:rPr>
        <w:t>«</w:t>
      </w:r>
      <w:r w:rsidR="00D02ECE" w:rsidRPr="00D02ECE">
        <w:rPr>
          <w:color w:val="000000"/>
          <w:sz w:val="28"/>
          <w:szCs w:val="28"/>
        </w:rPr>
        <w:t>м</w:t>
      </w:r>
      <w:r w:rsidRPr="00D02ECE">
        <w:rPr>
          <w:color w:val="000000"/>
          <w:sz w:val="28"/>
          <w:szCs w:val="28"/>
        </w:rPr>
        <w:t>инус</w:t>
      </w:r>
      <w:r w:rsidR="00D02ECE">
        <w:rPr>
          <w:color w:val="000000"/>
          <w:sz w:val="28"/>
          <w:szCs w:val="28"/>
        </w:rPr>
        <w:t>»</w:t>
      </w:r>
      <w:r w:rsidR="00D02ECE" w:rsidRPr="00D02ECE">
        <w:rPr>
          <w:color w:val="000000"/>
          <w:sz w:val="28"/>
          <w:szCs w:val="28"/>
        </w:rPr>
        <w:t>.</w:t>
      </w:r>
      <w:r w:rsidRPr="00D02ECE">
        <w:rPr>
          <w:color w:val="000000"/>
          <w:sz w:val="28"/>
          <w:szCs w:val="28"/>
        </w:rPr>
        <w:t xml:space="preserve"> Правильная оценка величины и знака общей открытой валютной позиции банка позволяет ему принимать адекватные решения по управлению своими рисками, созданными общей открытой валютной позицией, и насколько можно уменьшать их. Именно из этого и вытекает необходимость банка ежедневно определять в конце рабочего дня размер и знак своей общей открытой валютной позиции.</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 xml:space="preserve">Однако НБУ в течение более десяти лет никак не мог (и еще до сих пор не может) определиться с сущностью общей открытой валютной позиции банка и необходимостью оценивать размер и знак именно общей открытой валютной позиции, которая появилась в банке в конце рабочего дня. Но, не имея твердой концепции относительно теоретической сущности и необходимости определения для банков этой общей открытой валютной позиции, НБУ, соответственно, ошибочно относится (и относился) к методике ее расчета. Именно поэтому, согласно методике НБУ, банки определяли не величину общей открытой валютной позиции банка как алгебраическую сумму всех индивидуальных открытых позиций банка по всем иностранным валютам и банковским металлам, а </w:t>
      </w:r>
      <w:r w:rsidRPr="00D02ECE">
        <w:rPr>
          <w:iCs/>
          <w:color w:val="000000"/>
          <w:sz w:val="28"/>
          <w:szCs w:val="28"/>
        </w:rPr>
        <w:t>общий объем валютных операций,</w:t>
      </w:r>
      <w:r w:rsidRPr="00D02ECE">
        <w:rPr>
          <w:i/>
          <w:iCs/>
          <w:color w:val="000000"/>
          <w:sz w:val="28"/>
          <w:szCs w:val="28"/>
        </w:rPr>
        <w:t xml:space="preserve"> </w:t>
      </w:r>
      <w:r w:rsidRPr="00D02ECE">
        <w:rPr>
          <w:color w:val="000000"/>
          <w:sz w:val="28"/>
          <w:szCs w:val="28"/>
        </w:rPr>
        <w:t>выполненных банком за рабочий день по всем валютам и всем банковским металлам (без учета знака), что коренным образом отличается друг от друга. Например, еще в 1996</w:t>
      </w:r>
      <w:r w:rsidR="00D02ECE">
        <w:rPr>
          <w:color w:val="000000"/>
          <w:sz w:val="28"/>
          <w:szCs w:val="28"/>
        </w:rPr>
        <w:t> </w:t>
      </w:r>
      <w:r w:rsidR="00D02ECE" w:rsidRPr="00D02ECE">
        <w:rPr>
          <w:color w:val="000000"/>
          <w:sz w:val="28"/>
          <w:szCs w:val="28"/>
        </w:rPr>
        <w:t>г</w:t>
      </w:r>
      <w:r w:rsidRPr="00D02ECE">
        <w:rPr>
          <w:color w:val="000000"/>
          <w:sz w:val="28"/>
          <w:szCs w:val="28"/>
        </w:rPr>
        <w:t>. НБУ впервые определил сущность валютной позиции ка</w:t>
      </w:r>
      <w:r w:rsidR="00D02ECE" w:rsidRPr="00D02ECE">
        <w:rPr>
          <w:color w:val="000000"/>
          <w:sz w:val="28"/>
          <w:szCs w:val="28"/>
        </w:rPr>
        <w:t>к</w:t>
      </w:r>
      <w:r w:rsidR="00D02ECE">
        <w:rPr>
          <w:color w:val="000000"/>
          <w:sz w:val="28"/>
          <w:szCs w:val="28"/>
        </w:rPr>
        <w:t xml:space="preserve">»… </w:t>
      </w:r>
      <w:r w:rsidR="00D02ECE" w:rsidRPr="00D02ECE">
        <w:rPr>
          <w:color w:val="000000"/>
          <w:sz w:val="28"/>
          <w:szCs w:val="28"/>
        </w:rPr>
        <w:t>с</w:t>
      </w:r>
      <w:r w:rsidRPr="00D02ECE">
        <w:rPr>
          <w:color w:val="000000"/>
          <w:sz w:val="28"/>
          <w:szCs w:val="28"/>
        </w:rPr>
        <w:t xml:space="preserve">оотношение </w:t>
      </w:r>
      <w:r w:rsidRPr="00D02ECE">
        <w:rPr>
          <w:iCs/>
          <w:color w:val="000000"/>
          <w:sz w:val="28"/>
          <w:szCs w:val="28"/>
        </w:rPr>
        <w:t>(разницу)</w:t>
      </w:r>
      <w:r w:rsidR="00D02ECE">
        <w:rPr>
          <w:i/>
          <w:iCs/>
          <w:color w:val="000000"/>
          <w:sz w:val="28"/>
          <w:szCs w:val="28"/>
        </w:rPr>
        <w:t xml:space="preserve"> </w:t>
      </w:r>
      <w:r w:rsidRPr="00D02ECE">
        <w:rPr>
          <w:color w:val="000000"/>
          <w:sz w:val="28"/>
          <w:szCs w:val="28"/>
        </w:rPr>
        <w:t>между суммой активов и внебалансовых требований в определенной валюте и суммой балансовых и внебалансовых обязательств в этой же валюте</w:t>
      </w:r>
      <w:r w:rsidR="00D02ECE">
        <w:rPr>
          <w:color w:val="000000"/>
          <w:sz w:val="28"/>
          <w:szCs w:val="28"/>
        </w:rPr>
        <w:t>»</w:t>
      </w:r>
      <w:r w:rsidR="00D02ECE" w:rsidRPr="00D02ECE">
        <w:rPr>
          <w:color w:val="000000"/>
          <w:sz w:val="28"/>
          <w:szCs w:val="28"/>
        </w:rPr>
        <w:t>,</w:t>
      </w:r>
      <w:r w:rsidRPr="00D02ECE">
        <w:rPr>
          <w:color w:val="000000"/>
          <w:sz w:val="28"/>
          <w:szCs w:val="28"/>
        </w:rPr>
        <w:t xml:space="preserve"> а общей открытой валютной позиции </w:t>
      </w:r>
      <w:r w:rsidR="00D02ECE">
        <w:rPr>
          <w:color w:val="000000"/>
          <w:sz w:val="28"/>
          <w:szCs w:val="28"/>
        </w:rPr>
        <w:t>–</w:t>
      </w:r>
      <w:r w:rsidR="00D02ECE" w:rsidRPr="00D02ECE">
        <w:rPr>
          <w:color w:val="000000"/>
          <w:sz w:val="28"/>
          <w:szCs w:val="28"/>
        </w:rPr>
        <w:t xml:space="preserve"> </w:t>
      </w:r>
      <w:r w:rsidRPr="00D02ECE">
        <w:rPr>
          <w:color w:val="000000"/>
          <w:sz w:val="28"/>
          <w:szCs w:val="28"/>
        </w:rPr>
        <w:t>как такую, у которо</w:t>
      </w:r>
      <w:r w:rsidR="00D02ECE" w:rsidRPr="00D02ECE">
        <w:rPr>
          <w:color w:val="000000"/>
          <w:sz w:val="28"/>
          <w:szCs w:val="28"/>
        </w:rPr>
        <w:t>й</w:t>
      </w:r>
      <w:r w:rsidR="00D02ECE">
        <w:rPr>
          <w:color w:val="000000"/>
          <w:sz w:val="28"/>
          <w:szCs w:val="28"/>
        </w:rPr>
        <w:t xml:space="preserve">»… </w:t>
      </w:r>
      <w:r w:rsidR="00D02ECE" w:rsidRPr="00D02ECE">
        <w:rPr>
          <w:color w:val="000000"/>
          <w:sz w:val="28"/>
          <w:szCs w:val="28"/>
        </w:rPr>
        <w:t>с</w:t>
      </w:r>
      <w:r w:rsidRPr="00D02ECE">
        <w:rPr>
          <w:color w:val="000000"/>
          <w:sz w:val="28"/>
          <w:szCs w:val="28"/>
        </w:rPr>
        <w:t xml:space="preserve">умма активов и внебалансовых требований в определенной иностранной валюте </w:t>
      </w:r>
      <w:r w:rsidRPr="00D02ECE">
        <w:rPr>
          <w:iCs/>
          <w:color w:val="000000"/>
          <w:sz w:val="28"/>
          <w:szCs w:val="28"/>
        </w:rPr>
        <w:t>не совпадает</w:t>
      </w:r>
      <w:r w:rsidRPr="00D02ECE">
        <w:rPr>
          <w:i/>
          <w:iCs/>
          <w:color w:val="000000"/>
          <w:sz w:val="28"/>
          <w:szCs w:val="28"/>
        </w:rPr>
        <w:t xml:space="preserve"> </w:t>
      </w:r>
      <w:r w:rsidRPr="00D02ECE">
        <w:rPr>
          <w:color w:val="000000"/>
          <w:sz w:val="28"/>
          <w:szCs w:val="28"/>
        </w:rPr>
        <w:t>с суммой балансовых и внебалансовых обязательств в этой же валюте</w:t>
      </w:r>
      <w:r w:rsidR="00D02ECE">
        <w:rPr>
          <w:color w:val="000000"/>
          <w:sz w:val="28"/>
          <w:szCs w:val="28"/>
        </w:rPr>
        <w:t>»</w:t>
      </w:r>
      <w:r w:rsidR="00D02ECE" w:rsidRPr="00D02ECE">
        <w:rPr>
          <w:color w:val="000000"/>
          <w:sz w:val="28"/>
          <w:szCs w:val="28"/>
        </w:rPr>
        <w:t>,</w:t>
      </w:r>
      <w:r w:rsidRPr="00D02ECE">
        <w:rPr>
          <w:color w:val="000000"/>
          <w:sz w:val="28"/>
          <w:szCs w:val="28"/>
        </w:rPr>
        <w:t xml:space="preserve"> из чего вытекает, что и общая открытая валютная позиция банка определяется как разница между соответствующими требованиями и обязательствами и поэтому должна иметь знак.</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Вместе с тем еще с 1996</w:t>
      </w:r>
      <w:r w:rsidR="00D02ECE">
        <w:rPr>
          <w:color w:val="000000"/>
          <w:sz w:val="28"/>
          <w:szCs w:val="28"/>
        </w:rPr>
        <w:t> </w:t>
      </w:r>
      <w:r w:rsidR="00D02ECE" w:rsidRPr="00D02ECE">
        <w:rPr>
          <w:color w:val="000000"/>
          <w:sz w:val="28"/>
          <w:szCs w:val="28"/>
        </w:rPr>
        <w:t>г</w:t>
      </w:r>
      <w:r w:rsidRPr="00D02ECE">
        <w:rPr>
          <w:color w:val="000000"/>
          <w:sz w:val="28"/>
          <w:szCs w:val="28"/>
        </w:rPr>
        <w:t>. (и до марта 2009</w:t>
      </w:r>
      <w:r w:rsidR="00D02ECE">
        <w:rPr>
          <w:color w:val="000000"/>
          <w:sz w:val="28"/>
          <w:szCs w:val="28"/>
        </w:rPr>
        <w:t> </w:t>
      </w:r>
      <w:r w:rsidR="00D02ECE" w:rsidRPr="00D02ECE">
        <w:rPr>
          <w:color w:val="000000"/>
          <w:sz w:val="28"/>
          <w:szCs w:val="28"/>
        </w:rPr>
        <w:t>г</w:t>
      </w:r>
      <w:r w:rsidRPr="00D02ECE">
        <w:rPr>
          <w:color w:val="000000"/>
          <w:sz w:val="28"/>
          <w:szCs w:val="28"/>
        </w:rPr>
        <w:t xml:space="preserve">.) НБУ считал, что </w:t>
      </w:r>
      <w:r w:rsidR="00D02ECE">
        <w:rPr>
          <w:color w:val="000000"/>
          <w:sz w:val="28"/>
          <w:szCs w:val="28"/>
        </w:rPr>
        <w:t>«</w:t>
      </w:r>
      <w:r w:rsidR="00D02ECE" w:rsidRPr="00D02ECE">
        <w:rPr>
          <w:color w:val="000000"/>
          <w:sz w:val="28"/>
          <w:szCs w:val="28"/>
        </w:rPr>
        <w:t>о</w:t>
      </w:r>
      <w:r w:rsidRPr="00D02ECE">
        <w:rPr>
          <w:color w:val="000000"/>
          <w:sz w:val="28"/>
          <w:szCs w:val="28"/>
        </w:rPr>
        <w:t>бщая величина открытой валютной позиции (В</w:t>
      </w:r>
      <w:r w:rsidRPr="00D02ECE">
        <w:rPr>
          <w:color w:val="000000"/>
          <w:sz w:val="28"/>
          <w:szCs w:val="28"/>
          <w:vertAlign w:val="subscript"/>
        </w:rPr>
        <w:t>п</w:t>
      </w:r>
      <w:r w:rsidRPr="00D02ECE">
        <w:rPr>
          <w:color w:val="000000"/>
          <w:sz w:val="28"/>
          <w:szCs w:val="28"/>
        </w:rPr>
        <w:t xml:space="preserve">) в целом по уполномоченному банку определяется как сумма абсолютных величин всех длинных и всех коротких открытых валютных позиций в гривневом эквиваленте </w:t>
      </w:r>
      <w:r w:rsidRPr="00D02ECE">
        <w:rPr>
          <w:iCs/>
          <w:color w:val="000000"/>
          <w:sz w:val="28"/>
          <w:szCs w:val="28"/>
        </w:rPr>
        <w:t>(без учета знака)</w:t>
      </w:r>
      <w:r w:rsidR="00D02ECE">
        <w:rPr>
          <w:i/>
          <w:iCs/>
          <w:color w:val="000000"/>
          <w:sz w:val="28"/>
          <w:szCs w:val="28"/>
        </w:rPr>
        <w:t xml:space="preserve"> </w:t>
      </w:r>
      <w:r w:rsidRPr="00D02ECE">
        <w:rPr>
          <w:color w:val="000000"/>
          <w:sz w:val="28"/>
          <w:szCs w:val="28"/>
        </w:rPr>
        <w:t>по всем иностранным валютам</w:t>
      </w:r>
      <w:r w:rsidR="00D02ECE">
        <w:rPr>
          <w:color w:val="000000"/>
          <w:sz w:val="28"/>
          <w:szCs w:val="28"/>
        </w:rPr>
        <w:t>»</w:t>
      </w:r>
      <w:r w:rsidR="00D02ECE" w:rsidRPr="00D02ECE">
        <w:rPr>
          <w:color w:val="000000"/>
          <w:sz w:val="28"/>
          <w:szCs w:val="28"/>
        </w:rPr>
        <w:t>.</w:t>
      </w:r>
      <w:r w:rsidRPr="00D02ECE">
        <w:rPr>
          <w:color w:val="000000"/>
          <w:sz w:val="28"/>
          <w:szCs w:val="28"/>
        </w:rPr>
        <w:t xml:space="preserve"> Причем все эти годы НБУ просто пренебрегал тем, что общая открытая валютная позиция банка всегда должна иметь соответствующий знак </w:t>
      </w:r>
      <w:r w:rsidR="00D02ECE" w:rsidRPr="00D02ECE">
        <w:rPr>
          <w:color w:val="000000"/>
          <w:sz w:val="28"/>
          <w:szCs w:val="28"/>
        </w:rPr>
        <w:t>(</w:t>
      </w:r>
      <w:r w:rsidR="00D02ECE">
        <w:rPr>
          <w:color w:val="000000"/>
          <w:sz w:val="28"/>
          <w:szCs w:val="28"/>
        </w:rPr>
        <w:t>«</w:t>
      </w:r>
      <w:r w:rsidR="00D02ECE" w:rsidRPr="00D02ECE">
        <w:rPr>
          <w:color w:val="000000"/>
          <w:sz w:val="28"/>
          <w:szCs w:val="28"/>
        </w:rPr>
        <w:t>плюс</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или </w:t>
      </w:r>
      <w:r w:rsidR="00D02ECE">
        <w:rPr>
          <w:color w:val="000000"/>
          <w:sz w:val="28"/>
          <w:szCs w:val="28"/>
        </w:rPr>
        <w:t>«</w:t>
      </w:r>
      <w:r w:rsidR="00D02ECE" w:rsidRPr="00D02ECE">
        <w:rPr>
          <w:color w:val="000000"/>
          <w:sz w:val="28"/>
          <w:szCs w:val="28"/>
        </w:rPr>
        <w:t>м</w:t>
      </w:r>
      <w:r w:rsidRPr="00D02ECE">
        <w:rPr>
          <w:color w:val="000000"/>
          <w:sz w:val="28"/>
          <w:szCs w:val="28"/>
        </w:rPr>
        <w:t>инус</w:t>
      </w:r>
      <w:r w:rsidR="00D02ECE">
        <w:rPr>
          <w:color w:val="000000"/>
          <w:sz w:val="28"/>
          <w:szCs w:val="28"/>
        </w:rPr>
        <w:t>»</w:t>
      </w:r>
      <w:r w:rsidR="00D02ECE" w:rsidRPr="00D02ECE">
        <w:rPr>
          <w:color w:val="000000"/>
          <w:sz w:val="28"/>
          <w:szCs w:val="28"/>
        </w:rPr>
        <w:t>)</w:t>
      </w:r>
      <w:r w:rsidRPr="00D02ECE">
        <w:rPr>
          <w:color w:val="000000"/>
          <w:sz w:val="28"/>
          <w:szCs w:val="28"/>
        </w:rPr>
        <w:t>.</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В России сумма всех длинных и всех коротких валютных позиций в иностранных валютах и банковских металлах вычисляется с учетом знака. Что касается общей, то есть суммарной или совокупной (как это определено Инструкцией ЦБ РФ) величины валютной позиции, то она рассчитывается с учетом балансирующей позиции в рублях. К тому же, эта балансирующая позиция в рублях равна по своему абсолютному размеру общей валютной позиции банка во всех иностранных валютах и банковских металлах с учетом знака (в терминологии НБУ), но</w:t>
      </w:r>
      <w:r w:rsidR="00D02ECE">
        <w:rPr>
          <w:color w:val="000000"/>
          <w:sz w:val="28"/>
          <w:szCs w:val="28"/>
        </w:rPr>
        <w:t>…</w:t>
      </w:r>
      <w:r w:rsidRPr="00D02ECE">
        <w:rPr>
          <w:color w:val="000000"/>
          <w:sz w:val="28"/>
          <w:szCs w:val="28"/>
        </w:rPr>
        <w:t xml:space="preserve"> имеет противоположный знак. Понятно, что по такой методике совокупная (суммарная) величина всех длинных и всех коротких валютных позиций во всех иностранных валютах, банковских металлах и рублях (!) в банках России не имеет знака, что уравновешивается именно балансирующей позицией банка в национальной валюте, тем самым создавая банку закрытую валютную позицию в рублевом эквиваленте. Однако методикой НБУ в расчет общей открытой валютной позиции банка никогда не включалась балансирующая позиция банка в национальной валюте, которая равна по абсолютному размеру общей открытой валютной позиции, но противоположна по знаку. Поэтому по методике НБУ расчет общей открытой валютной позиции банка как суммы абсолютных значений (без учета знака) всех длинных и всех коротких валютных позиций лишь по всем иностранным валютам и банковским металлам, но без балансирующей позиции банка в национальной валюте (гривне) никак не отражала ни открытую общую валютную позицию банка, ни его закрытую валютную позицию, в связи с чем в августе 2009</w:t>
      </w:r>
      <w:r w:rsidR="00D02ECE">
        <w:rPr>
          <w:color w:val="000000"/>
          <w:sz w:val="28"/>
          <w:szCs w:val="28"/>
        </w:rPr>
        <w:t> </w:t>
      </w:r>
      <w:r w:rsidR="00D02ECE" w:rsidRPr="00D02ECE">
        <w:rPr>
          <w:color w:val="000000"/>
          <w:sz w:val="28"/>
          <w:szCs w:val="28"/>
        </w:rPr>
        <w:t>г</w:t>
      </w:r>
      <w:r w:rsidRPr="00D02ECE">
        <w:rPr>
          <w:color w:val="000000"/>
          <w:sz w:val="28"/>
          <w:szCs w:val="28"/>
        </w:rPr>
        <w:t>. НБУ, в конце концов, отменил во всех своих действующих постановлениях и письмах все то, что хоть как-то касалось общей открытой валютной позиции банков: ее сущности, методики расчета, нормативов и даже лимита Л13, который еще был в новых постановлениях НБУ до сентября 2009</w:t>
      </w:r>
      <w:r w:rsidR="00D02ECE">
        <w:rPr>
          <w:color w:val="000000"/>
          <w:sz w:val="28"/>
          <w:szCs w:val="28"/>
        </w:rPr>
        <w:t> </w:t>
      </w:r>
      <w:r w:rsidR="00D02ECE" w:rsidRPr="00D02ECE">
        <w:rPr>
          <w:color w:val="000000"/>
          <w:sz w:val="28"/>
          <w:szCs w:val="28"/>
        </w:rPr>
        <w:t>г</w:t>
      </w:r>
      <w:r w:rsidR="00D02ECE">
        <w:rPr>
          <w:color w:val="000000"/>
          <w:sz w:val="28"/>
          <w:szCs w:val="28"/>
        </w:rPr>
        <w:t>.</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Заслуживает внимания и то, что НБУ в начале 2009</w:t>
      </w:r>
      <w:r w:rsidR="00D02ECE">
        <w:rPr>
          <w:color w:val="000000"/>
          <w:sz w:val="28"/>
          <w:szCs w:val="28"/>
        </w:rPr>
        <w:t> </w:t>
      </w:r>
      <w:r w:rsidR="00D02ECE" w:rsidRPr="00D02ECE">
        <w:rPr>
          <w:color w:val="000000"/>
          <w:sz w:val="28"/>
          <w:szCs w:val="28"/>
        </w:rPr>
        <w:t>г</w:t>
      </w:r>
      <w:r w:rsidRPr="00D02ECE">
        <w:rPr>
          <w:color w:val="000000"/>
          <w:sz w:val="28"/>
          <w:szCs w:val="28"/>
        </w:rPr>
        <w:t xml:space="preserve">. наконец ввел обещанные </w:t>
      </w:r>
      <w:r w:rsidR="00D02ECE">
        <w:rPr>
          <w:color w:val="000000"/>
          <w:sz w:val="28"/>
          <w:szCs w:val="28"/>
        </w:rPr>
        <w:t>«</w:t>
      </w:r>
      <w:r w:rsidR="00D02ECE" w:rsidRPr="00D02ECE">
        <w:rPr>
          <w:color w:val="000000"/>
          <w:sz w:val="28"/>
          <w:szCs w:val="28"/>
        </w:rPr>
        <w:t>М</w:t>
      </w:r>
      <w:r w:rsidRPr="00D02ECE">
        <w:rPr>
          <w:color w:val="000000"/>
          <w:sz w:val="28"/>
          <w:szCs w:val="28"/>
        </w:rPr>
        <w:t xml:space="preserve">етодические рекомендации к Положению о порядке установления НБУ лимитов открытой валютной позиции </w:t>
      </w:r>
      <w:r w:rsidRPr="00D02ECE">
        <w:rPr>
          <w:iCs/>
          <w:color w:val="000000"/>
          <w:sz w:val="28"/>
          <w:szCs w:val="28"/>
        </w:rPr>
        <w:t>в наличной и безналичной формах</w:t>
      </w:r>
      <w:r w:rsidRPr="00D02ECE">
        <w:rPr>
          <w:i/>
          <w:iCs/>
          <w:color w:val="000000"/>
          <w:sz w:val="28"/>
          <w:szCs w:val="28"/>
        </w:rPr>
        <w:t xml:space="preserve"> </w:t>
      </w:r>
      <w:r w:rsidRPr="00D02ECE">
        <w:rPr>
          <w:color w:val="000000"/>
          <w:sz w:val="28"/>
          <w:szCs w:val="28"/>
        </w:rPr>
        <w:t>и контроль за их соблюдением коммерческими банками</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которые к существующим ошибкам установленных лимитов открытой валютной позиции добавили еще и новые. Речь идет о том, что НБУ определил введенные лимиты открытой валютной позиции банка как такие, которые существуют в наличной и безналичной формах, то есть следует понимать, что это разные лимиты, отражающие ограничения открытых валютных позиций банка отдельно в наличной и отдельно </w:t>
      </w:r>
      <w:r w:rsidR="00D02ECE">
        <w:rPr>
          <w:color w:val="000000"/>
          <w:sz w:val="28"/>
          <w:szCs w:val="28"/>
        </w:rPr>
        <w:t>–</w:t>
      </w:r>
      <w:r w:rsidR="00D02ECE" w:rsidRPr="00D02ECE">
        <w:rPr>
          <w:color w:val="000000"/>
          <w:sz w:val="28"/>
          <w:szCs w:val="28"/>
        </w:rPr>
        <w:t xml:space="preserve"> </w:t>
      </w:r>
      <w:r w:rsidRPr="00D02ECE">
        <w:rPr>
          <w:color w:val="000000"/>
          <w:sz w:val="28"/>
          <w:szCs w:val="28"/>
        </w:rPr>
        <w:t>в безналичной формах. Такое определение лимитов Л13</w:t>
      </w:r>
      <w:r w:rsidR="00D02ECE">
        <w:rPr>
          <w:color w:val="000000"/>
          <w:sz w:val="28"/>
          <w:szCs w:val="28"/>
        </w:rPr>
        <w:t>–</w:t>
      </w:r>
      <w:r w:rsidR="00D02ECE" w:rsidRPr="00D02ECE">
        <w:rPr>
          <w:color w:val="000000"/>
          <w:sz w:val="28"/>
          <w:szCs w:val="28"/>
        </w:rPr>
        <w:t>1</w:t>
      </w:r>
      <w:r w:rsidRPr="00D02ECE">
        <w:rPr>
          <w:color w:val="000000"/>
          <w:sz w:val="28"/>
          <w:szCs w:val="28"/>
        </w:rPr>
        <w:t xml:space="preserve"> и Л13</w:t>
      </w:r>
      <w:r w:rsidR="00D02ECE">
        <w:rPr>
          <w:color w:val="000000"/>
          <w:sz w:val="28"/>
          <w:szCs w:val="28"/>
        </w:rPr>
        <w:t>–</w:t>
      </w:r>
      <w:r w:rsidR="00D02ECE" w:rsidRPr="00D02ECE">
        <w:rPr>
          <w:color w:val="000000"/>
          <w:sz w:val="28"/>
          <w:szCs w:val="28"/>
        </w:rPr>
        <w:t>2</w:t>
      </w:r>
      <w:r w:rsidRPr="00D02ECE">
        <w:rPr>
          <w:color w:val="000000"/>
          <w:sz w:val="28"/>
          <w:szCs w:val="28"/>
        </w:rPr>
        <w:t xml:space="preserve"> (которые еще сегодня остались в практической деятельности банков после всех отмен) длинной и короткой валютных позиций банка по всем иностранным валютам и банковским металлам (которые, к тому же, НБУ называет общими и еще и открытыми) ошибочно, поскольку общая открытая валютная позиция банка, а следовательно, и ее лимит определяются с учетом всех индивидуальных (длинных и коротких) валютных позиций банка как в наличной, так и в безналичной формах в гривневом эквиваленте.</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 xml:space="preserve">Отменив общую открытую валютную позицию и ее лимит (Л 13) и, соответственно, необходимость определения банками своей общей открытой валютной позиции по всем валютам и банковским металлам, НБУ подменил необходимость расчета общей открытой валютной позиции банка расчетом общих длинной и короткой валютных позиций, что далеко не одно и то же. Такая подмена никак не решает проблемы НБУ </w:t>
      </w:r>
      <w:r w:rsidR="00D02ECE">
        <w:rPr>
          <w:color w:val="000000"/>
          <w:sz w:val="28"/>
          <w:szCs w:val="28"/>
        </w:rPr>
        <w:t>–</w:t>
      </w:r>
      <w:r w:rsidR="00D02ECE" w:rsidRPr="00D02ECE">
        <w:rPr>
          <w:color w:val="000000"/>
          <w:sz w:val="28"/>
          <w:szCs w:val="28"/>
        </w:rPr>
        <w:t xml:space="preserve"> </w:t>
      </w:r>
      <w:r w:rsidRPr="00D02ECE">
        <w:rPr>
          <w:color w:val="000000"/>
          <w:sz w:val="28"/>
          <w:szCs w:val="28"/>
        </w:rPr>
        <w:t>невозможность связать в единое целое теоретическую сущность общей открытой валютной позиции банка с методикой ее расчета.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Отменив лимит Л13, НБУ этим отменил и необходимость банков соблюдать данный лимит. Однако, несмотря на это, все уполномоченные банки так или иначе рассчитывают свою настоящую общую открытую валютную позицию по всем иностранным валютам и банковским металлам (и будут продолжать это делать) для оценивания своего настоящего общего валютного риска. Вместе с тем полученные банками данные о размере настоящей общей открытой валютной позиции по всем иностранным валютам и банковским металлам рассчитаны только для внутрибанковского применения и остаются вне контроля НБУ. Все это обязательно приведет (и приводит) уполномоченные банки к кризисным явлениям и поэтому представляет собой негативный момент в регулировании НБУ валютной деятельности банков.</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Заслуживает внимания еще и то, что в конце 2007</w:t>
      </w:r>
      <w:r w:rsidR="00D02ECE">
        <w:rPr>
          <w:color w:val="000000"/>
          <w:sz w:val="28"/>
          <w:szCs w:val="28"/>
        </w:rPr>
        <w:t> </w:t>
      </w:r>
      <w:r w:rsidR="00D02ECE" w:rsidRPr="00D02ECE">
        <w:rPr>
          <w:color w:val="000000"/>
          <w:sz w:val="28"/>
          <w:szCs w:val="28"/>
        </w:rPr>
        <w:t>г</w:t>
      </w:r>
      <w:r w:rsidRPr="00D02ECE">
        <w:rPr>
          <w:color w:val="000000"/>
          <w:sz w:val="28"/>
          <w:szCs w:val="28"/>
        </w:rPr>
        <w:t xml:space="preserve">. НБУ в действующей Инструкции 368 к существующему понятию </w:t>
      </w:r>
      <w:r w:rsidR="00D02ECE">
        <w:rPr>
          <w:color w:val="000000"/>
          <w:sz w:val="28"/>
          <w:szCs w:val="28"/>
        </w:rPr>
        <w:t>«</w:t>
      </w:r>
      <w:r w:rsidR="00D02ECE" w:rsidRPr="00D02ECE">
        <w:rPr>
          <w:color w:val="000000"/>
          <w:sz w:val="28"/>
          <w:szCs w:val="28"/>
        </w:rPr>
        <w:t>о</w:t>
      </w:r>
      <w:r w:rsidRPr="00D02ECE">
        <w:rPr>
          <w:color w:val="000000"/>
          <w:sz w:val="28"/>
          <w:szCs w:val="28"/>
        </w:rPr>
        <w:t>бщая открытая валютная позиция банка</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добавил новое понятие </w:t>
      </w:r>
      <w:r w:rsidR="00D02ECE">
        <w:rPr>
          <w:color w:val="000000"/>
          <w:sz w:val="28"/>
          <w:szCs w:val="28"/>
        </w:rPr>
        <w:t>«</w:t>
      </w:r>
      <w:r w:rsidR="00D02ECE" w:rsidRPr="00D02ECE">
        <w:rPr>
          <w:color w:val="000000"/>
          <w:sz w:val="28"/>
          <w:szCs w:val="28"/>
        </w:rPr>
        <w:t>с</w:t>
      </w:r>
      <w:r w:rsidRPr="00D02ECE">
        <w:rPr>
          <w:color w:val="000000"/>
          <w:sz w:val="28"/>
          <w:szCs w:val="28"/>
        </w:rPr>
        <w:t>овокупная сумма открытой валютной позиции банка</w:t>
      </w:r>
      <w:r w:rsidR="00D02ECE">
        <w:rPr>
          <w:color w:val="000000"/>
          <w:sz w:val="28"/>
          <w:szCs w:val="28"/>
        </w:rPr>
        <w:t>»</w:t>
      </w:r>
      <w:r w:rsidR="00D02ECE" w:rsidRPr="00D02ECE">
        <w:rPr>
          <w:color w:val="000000"/>
          <w:sz w:val="28"/>
          <w:szCs w:val="28"/>
        </w:rPr>
        <w:t>,</w:t>
      </w:r>
      <w:r w:rsidRPr="00D02ECE">
        <w:rPr>
          <w:color w:val="000000"/>
          <w:sz w:val="28"/>
          <w:szCs w:val="28"/>
        </w:rPr>
        <w:t xml:space="preserve"> которое сегодня и используется. Вместе с тем целесообразно отметить, что оба эти понятия </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и </w:t>
      </w:r>
      <w:r w:rsidR="00D02ECE">
        <w:rPr>
          <w:color w:val="000000"/>
          <w:sz w:val="28"/>
          <w:szCs w:val="28"/>
        </w:rPr>
        <w:t>«</w:t>
      </w:r>
      <w:r w:rsidR="00D02ECE" w:rsidRPr="00D02ECE">
        <w:rPr>
          <w:color w:val="000000"/>
          <w:sz w:val="28"/>
          <w:szCs w:val="28"/>
        </w:rPr>
        <w:t>с</w:t>
      </w:r>
      <w:r w:rsidRPr="00D02ECE">
        <w:rPr>
          <w:color w:val="000000"/>
          <w:sz w:val="28"/>
          <w:szCs w:val="28"/>
        </w:rPr>
        <w:t>овокупная</w:t>
      </w:r>
      <w:r w:rsidR="00D02ECE">
        <w:rPr>
          <w:color w:val="000000"/>
          <w:sz w:val="28"/>
          <w:szCs w:val="28"/>
        </w:rPr>
        <w:t>»</w:t>
      </w:r>
      <w:r w:rsidR="00D02ECE" w:rsidRPr="00D02ECE">
        <w:rPr>
          <w:color w:val="000000"/>
          <w:sz w:val="28"/>
          <w:szCs w:val="28"/>
        </w:rPr>
        <w:t>,</w:t>
      </w:r>
      <w:r w:rsidRPr="00D02ECE">
        <w:rPr>
          <w:color w:val="000000"/>
          <w:sz w:val="28"/>
          <w:szCs w:val="28"/>
        </w:rPr>
        <w:t xml:space="preserve"> и </w:t>
      </w:r>
      <w:r w:rsidR="00D02ECE">
        <w:rPr>
          <w:color w:val="000000"/>
          <w:sz w:val="28"/>
          <w:szCs w:val="28"/>
        </w:rPr>
        <w:t>«</w:t>
      </w:r>
      <w:r w:rsidR="00D02ECE" w:rsidRPr="00D02ECE">
        <w:rPr>
          <w:color w:val="000000"/>
          <w:sz w:val="28"/>
          <w:szCs w:val="28"/>
        </w:rPr>
        <w:t>о</w:t>
      </w:r>
      <w:r w:rsidRPr="00D02ECE">
        <w:rPr>
          <w:color w:val="000000"/>
          <w:sz w:val="28"/>
          <w:szCs w:val="28"/>
        </w:rPr>
        <w:t>бщая</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открытая валютная позиция банка </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по своей сущности являются отождествлением чего-то общего. Соответственно, эти термины </w:t>
      </w:r>
      <w:r w:rsidR="00D02ECE">
        <w:rPr>
          <w:color w:val="000000"/>
          <w:sz w:val="28"/>
          <w:szCs w:val="28"/>
        </w:rPr>
        <w:t>–</w:t>
      </w:r>
      <w:r w:rsidR="00D02ECE" w:rsidRPr="00D02ECE">
        <w:rPr>
          <w:color w:val="000000"/>
          <w:sz w:val="28"/>
          <w:szCs w:val="28"/>
        </w:rPr>
        <w:t xml:space="preserve"> </w:t>
      </w:r>
      <w:r w:rsidRPr="00D02ECE">
        <w:rPr>
          <w:color w:val="000000"/>
          <w:sz w:val="28"/>
          <w:szCs w:val="28"/>
        </w:rPr>
        <w:t>синонимы, следовательно, предусматривается использование единой методики их вычисления с учетом знака, хотя по методике НБУ они рассчитываются по-разному.</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 xml:space="preserve">Например, величина общей открытой валютной позиции банка в мировой практике вычисляется в соответствии со своей теоретической сущностью с учетом знака в один этап, а величина совокупной суммы открытой валютной позиции </w:t>
      </w:r>
      <w:r w:rsidR="00D02ECE">
        <w:rPr>
          <w:color w:val="000000"/>
          <w:sz w:val="28"/>
          <w:szCs w:val="28"/>
        </w:rPr>
        <w:t>–</w:t>
      </w:r>
      <w:r w:rsidR="00D02ECE" w:rsidRPr="00D02ECE">
        <w:rPr>
          <w:color w:val="000000"/>
          <w:sz w:val="28"/>
          <w:szCs w:val="28"/>
        </w:rPr>
        <w:t xml:space="preserve"> </w:t>
      </w:r>
      <w:r w:rsidRPr="00D02ECE">
        <w:rPr>
          <w:color w:val="000000"/>
          <w:sz w:val="28"/>
          <w:szCs w:val="28"/>
        </w:rPr>
        <w:t>по методике НБУ в три этапа.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С целью наглядного освещения отличий, обусловленных разными методиками расчета реальной общей открытой валютной позиции банка и его совокупной открытой валютной позиции по всем иностранным валютам и банковским металлам, определим, прежде всего, индивидуальные валютные позиции банка по данным табл. 1.</w:t>
      </w:r>
    </w:p>
    <w:p w:rsidR="00815F59" w:rsidRDefault="00815F59" w:rsidP="00D02ECE">
      <w:pPr>
        <w:autoSpaceDE w:val="0"/>
        <w:autoSpaceDN w:val="0"/>
        <w:adjustRightInd w:val="0"/>
        <w:spacing w:line="360" w:lineRule="auto"/>
        <w:ind w:firstLine="709"/>
        <w:jc w:val="both"/>
        <w:rPr>
          <w:bCs/>
          <w:iCs/>
          <w:color w:val="000000"/>
          <w:sz w:val="28"/>
          <w:szCs w:val="28"/>
        </w:rPr>
      </w:pPr>
    </w:p>
    <w:p w:rsidR="003D4615" w:rsidRPr="00D02ECE" w:rsidRDefault="003D4615" w:rsidP="00D02ECE">
      <w:pPr>
        <w:autoSpaceDE w:val="0"/>
        <w:autoSpaceDN w:val="0"/>
        <w:adjustRightInd w:val="0"/>
        <w:spacing w:line="360" w:lineRule="auto"/>
        <w:ind w:firstLine="709"/>
        <w:jc w:val="both"/>
        <w:rPr>
          <w:bCs/>
          <w:color w:val="000000"/>
          <w:sz w:val="28"/>
          <w:szCs w:val="28"/>
        </w:rPr>
      </w:pPr>
      <w:r w:rsidRPr="00D02ECE">
        <w:rPr>
          <w:bCs/>
          <w:iCs/>
          <w:color w:val="000000"/>
          <w:sz w:val="28"/>
          <w:szCs w:val="28"/>
        </w:rPr>
        <w:t>Таблица 1</w:t>
      </w:r>
      <w:r w:rsidR="00815F59">
        <w:rPr>
          <w:bCs/>
          <w:iCs/>
          <w:color w:val="000000"/>
          <w:sz w:val="28"/>
          <w:szCs w:val="28"/>
        </w:rPr>
        <w:t xml:space="preserve">. </w:t>
      </w:r>
      <w:r w:rsidRPr="00D02ECE">
        <w:rPr>
          <w:bCs/>
          <w:color w:val="000000"/>
          <w:sz w:val="28"/>
          <w:szCs w:val="28"/>
        </w:rPr>
        <w:t>Валютные позиции банка в иностранных валютах, банковских металлах и в гривневом эквиваленте на конец рабочего дня (данные условные)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3"/>
        <w:gridCol w:w="1317"/>
        <w:gridCol w:w="1405"/>
        <w:gridCol w:w="1877"/>
        <w:gridCol w:w="1771"/>
        <w:gridCol w:w="1664"/>
      </w:tblGrid>
      <w:tr w:rsidR="003D4615" w:rsidRPr="00DC3F7D" w:rsidTr="00DC3F7D">
        <w:trPr>
          <w:cantSplit/>
          <w:trHeight w:val="941"/>
          <w:jc w:val="center"/>
        </w:trPr>
        <w:tc>
          <w:tcPr>
            <w:tcW w:w="74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Литерные коды валют и банковских металлов</w:t>
            </w:r>
          </w:p>
        </w:tc>
        <w:tc>
          <w:tcPr>
            <w:tcW w:w="66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Активы и требования банка в иностранной валюте</w:t>
            </w:r>
          </w:p>
        </w:tc>
        <w:tc>
          <w:tcPr>
            <w:tcW w:w="694"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Пассивы и обязательства банка в иностранной валюте</w:t>
            </w:r>
          </w:p>
        </w:tc>
        <w:tc>
          <w:tcPr>
            <w:tcW w:w="107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Индивидуальные открытые позиции по валютам и металлам</w:t>
            </w:r>
          </w:p>
        </w:tc>
        <w:tc>
          <w:tcPr>
            <w:tcW w:w="947"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Официальный курс</w:t>
            </w:r>
            <w:r w:rsidRPr="00DC3F7D">
              <w:rPr>
                <w:bCs/>
                <w:color w:val="000000"/>
                <w:sz w:val="20"/>
                <w:szCs w:val="28"/>
                <w:lang w:val="uk-UA"/>
              </w:rPr>
              <w:t xml:space="preserve"> гривни </w:t>
            </w:r>
            <w:r w:rsidRPr="00DC3F7D">
              <w:rPr>
                <w:bCs/>
                <w:color w:val="000000"/>
                <w:sz w:val="20"/>
                <w:szCs w:val="28"/>
              </w:rPr>
              <w:t>к соответствующим валютам</w:t>
            </w:r>
          </w:p>
        </w:tc>
        <w:tc>
          <w:tcPr>
            <w:tcW w:w="86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Гривневый эквивалент индивидуальных валютных позиций</w:t>
            </w:r>
          </w:p>
        </w:tc>
      </w:tr>
      <w:tr w:rsidR="003D4615" w:rsidRPr="00DC3F7D" w:rsidTr="00DC3F7D">
        <w:trPr>
          <w:cantSplit/>
          <w:trHeight w:val="216"/>
          <w:jc w:val="center"/>
        </w:trPr>
        <w:tc>
          <w:tcPr>
            <w:tcW w:w="74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w:t>
            </w:r>
          </w:p>
        </w:tc>
        <w:tc>
          <w:tcPr>
            <w:tcW w:w="669" w:type="pct"/>
            <w:shd w:val="clear" w:color="auto" w:fill="auto"/>
          </w:tcPr>
          <w:p w:rsidR="003D4615" w:rsidRPr="00DC3F7D" w:rsidRDefault="003D4615" w:rsidP="00DC3F7D">
            <w:pPr>
              <w:autoSpaceDE w:val="0"/>
              <w:autoSpaceDN w:val="0"/>
              <w:adjustRightInd w:val="0"/>
              <w:spacing w:line="360" w:lineRule="auto"/>
              <w:jc w:val="both"/>
              <w:rPr>
                <w:bCs/>
                <w:i/>
                <w:iCs/>
                <w:color w:val="000000"/>
                <w:sz w:val="20"/>
                <w:szCs w:val="28"/>
              </w:rPr>
            </w:pPr>
            <w:r w:rsidRPr="00DC3F7D">
              <w:rPr>
                <w:bCs/>
                <w:i/>
                <w:iCs/>
                <w:color w:val="000000"/>
                <w:sz w:val="20"/>
                <w:szCs w:val="28"/>
              </w:rPr>
              <w:t>2</w:t>
            </w:r>
          </w:p>
        </w:tc>
        <w:tc>
          <w:tcPr>
            <w:tcW w:w="694"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3</w:t>
            </w:r>
          </w:p>
        </w:tc>
        <w:tc>
          <w:tcPr>
            <w:tcW w:w="107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w:t>
            </w:r>
          </w:p>
        </w:tc>
        <w:tc>
          <w:tcPr>
            <w:tcW w:w="947"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5</w:t>
            </w:r>
          </w:p>
        </w:tc>
        <w:tc>
          <w:tcPr>
            <w:tcW w:w="86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6</w:t>
            </w:r>
          </w:p>
        </w:tc>
      </w:tr>
      <w:tr w:rsidR="003D4615" w:rsidRPr="00DC3F7D" w:rsidTr="00DC3F7D">
        <w:trPr>
          <w:cantSplit/>
          <w:trHeight w:val="216"/>
          <w:jc w:val="center"/>
        </w:trPr>
        <w:tc>
          <w:tcPr>
            <w:tcW w:w="74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lang w:val="en-US" w:eastAsia="en-US"/>
              </w:rPr>
            </w:pPr>
            <w:r w:rsidRPr="00DC3F7D">
              <w:rPr>
                <w:bCs/>
                <w:color w:val="000000"/>
                <w:sz w:val="20"/>
                <w:szCs w:val="28"/>
                <w:lang w:val="en-US" w:eastAsia="en-US"/>
              </w:rPr>
              <w:t>USD</w:t>
            </w:r>
          </w:p>
        </w:tc>
        <w:tc>
          <w:tcPr>
            <w:tcW w:w="669" w:type="pct"/>
            <w:shd w:val="clear" w:color="auto" w:fill="auto"/>
          </w:tcPr>
          <w:p w:rsidR="003D4615" w:rsidRPr="00DC3F7D" w:rsidRDefault="003D4615" w:rsidP="00DC3F7D">
            <w:pPr>
              <w:autoSpaceDE w:val="0"/>
              <w:autoSpaceDN w:val="0"/>
              <w:adjustRightInd w:val="0"/>
              <w:spacing w:line="360" w:lineRule="auto"/>
              <w:jc w:val="both"/>
              <w:rPr>
                <w:i/>
                <w:iCs/>
                <w:color w:val="000000"/>
                <w:sz w:val="20"/>
                <w:szCs w:val="28"/>
              </w:rPr>
            </w:pPr>
            <w:r w:rsidRPr="00DC3F7D">
              <w:rPr>
                <w:i/>
                <w:iCs/>
                <w:color w:val="000000"/>
                <w:sz w:val="20"/>
                <w:szCs w:val="28"/>
              </w:rPr>
              <w:t>-</w:t>
            </w:r>
          </w:p>
        </w:tc>
        <w:tc>
          <w:tcPr>
            <w:tcW w:w="694"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1250000</w:t>
            </w:r>
          </w:p>
        </w:tc>
        <w:tc>
          <w:tcPr>
            <w:tcW w:w="107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-1250000</w:t>
            </w:r>
          </w:p>
        </w:tc>
        <w:tc>
          <w:tcPr>
            <w:tcW w:w="947"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8,01</w:t>
            </w:r>
          </w:p>
        </w:tc>
        <w:tc>
          <w:tcPr>
            <w:tcW w:w="86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-10012500,0</w:t>
            </w:r>
          </w:p>
        </w:tc>
      </w:tr>
      <w:tr w:rsidR="003D4615" w:rsidRPr="00DC3F7D" w:rsidTr="00DC3F7D">
        <w:trPr>
          <w:cantSplit/>
          <w:trHeight w:val="216"/>
          <w:jc w:val="center"/>
        </w:trPr>
        <w:tc>
          <w:tcPr>
            <w:tcW w:w="74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lang w:val="en-US" w:eastAsia="en-US"/>
              </w:rPr>
            </w:pPr>
            <w:r w:rsidRPr="00DC3F7D">
              <w:rPr>
                <w:bCs/>
                <w:color w:val="000000"/>
                <w:sz w:val="20"/>
                <w:szCs w:val="28"/>
                <w:lang w:val="en-US" w:eastAsia="en-US"/>
              </w:rPr>
              <w:t>EUR</w:t>
            </w:r>
          </w:p>
        </w:tc>
        <w:tc>
          <w:tcPr>
            <w:tcW w:w="66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1000000</w:t>
            </w:r>
          </w:p>
        </w:tc>
        <w:tc>
          <w:tcPr>
            <w:tcW w:w="694" w:type="pct"/>
            <w:shd w:val="clear" w:color="auto" w:fill="auto"/>
          </w:tcPr>
          <w:p w:rsidR="003D4615" w:rsidRPr="00DC3F7D" w:rsidRDefault="003D4615" w:rsidP="00DC3F7D">
            <w:pPr>
              <w:autoSpaceDE w:val="0"/>
              <w:autoSpaceDN w:val="0"/>
              <w:adjustRightInd w:val="0"/>
              <w:spacing w:line="360" w:lineRule="auto"/>
              <w:jc w:val="both"/>
              <w:rPr>
                <w:color w:val="000000"/>
                <w:sz w:val="20"/>
                <w:szCs w:val="28"/>
              </w:rPr>
            </w:pPr>
          </w:p>
        </w:tc>
        <w:tc>
          <w:tcPr>
            <w:tcW w:w="107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+1000000</w:t>
            </w:r>
          </w:p>
        </w:tc>
        <w:tc>
          <w:tcPr>
            <w:tcW w:w="947"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11,65</w:t>
            </w:r>
          </w:p>
        </w:tc>
        <w:tc>
          <w:tcPr>
            <w:tcW w:w="86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+11650000,0</w:t>
            </w:r>
          </w:p>
        </w:tc>
      </w:tr>
      <w:tr w:rsidR="003D4615" w:rsidRPr="00DC3F7D" w:rsidTr="00DC3F7D">
        <w:trPr>
          <w:cantSplit/>
          <w:trHeight w:val="221"/>
          <w:jc w:val="center"/>
        </w:trPr>
        <w:tc>
          <w:tcPr>
            <w:tcW w:w="74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lang w:val="en-US" w:eastAsia="en-US"/>
              </w:rPr>
            </w:pPr>
            <w:r w:rsidRPr="00DC3F7D">
              <w:rPr>
                <w:bCs/>
                <w:color w:val="000000"/>
                <w:sz w:val="20"/>
                <w:szCs w:val="28"/>
                <w:lang w:val="en-US" w:eastAsia="en-US"/>
              </w:rPr>
              <w:t>XAU</w:t>
            </w:r>
          </w:p>
        </w:tc>
        <w:tc>
          <w:tcPr>
            <w:tcW w:w="66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1000*</w:t>
            </w:r>
          </w:p>
        </w:tc>
        <w:tc>
          <w:tcPr>
            <w:tcW w:w="694" w:type="pct"/>
            <w:shd w:val="clear" w:color="auto" w:fill="auto"/>
          </w:tcPr>
          <w:p w:rsidR="003D4615" w:rsidRPr="00DC3F7D" w:rsidRDefault="003D4615" w:rsidP="00DC3F7D">
            <w:pPr>
              <w:autoSpaceDE w:val="0"/>
              <w:autoSpaceDN w:val="0"/>
              <w:adjustRightInd w:val="0"/>
              <w:spacing w:line="360" w:lineRule="auto"/>
              <w:jc w:val="both"/>
              <w:rPr>
                <w:color w:val="000000"/>
                <w:sz w:val="20"/>
                <w:szCs w:val="28"/>
              </w:rPr>
            </w:pPr>
          </w:p>
        </w:tc>
        <w:tc>
          <w:tcPr>
            <w:tcW w:w="107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+1000</w:t>
            </w:r>
          </w:p>
        </w:tc>
        <w:tc>
          <w:tcPr>
            <w:tcW w:w="947"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4469,25</w:t>
            </w:r>
          </w:p>
        </w:tc>
        <w:tc>
          <w:tcPr>
            <w:tcW w:w="86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+4469250,0</w:t>
            </w:r>
          </w:p>
        </w:tc>
      </w:tr>
      <w:tr w:rsidR="003D4615" w:rsidRPr="00DC3F7D" w:rsidTr="00DC3F7D">
        <w:trPr>
          <w:cantSplit/>
          <w:trHeight w:val="221"/>
          <w:jc w:val="center"/>
        </w:trPr>
        <w:tc>
          <w:tcPr>
            <w:tcW w:w="74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lang w:val="en-US" w:eastAsia="en-US"/>
              </w:rPr>
            </w:pPr>
            <w:r w:rsidRPr="00DC3F7D">
              <w:rPr>
                <w:bCs/>
                <w:color w:val="000000"/>
                <w:sz w:val="20"/>
                <w:szCs w:val="28"/>
                <w:lang w:val="en-US" w:eastAsia="en-US"/>
              </w:rPr>
              <w:t>XAG</w:t>
            </w:r>
          </w:p>
        </w:tc>
        <w:tc>
          <w:tcPr>
            <w:tcW w:w="669" w:type="pct"/>
            <w:shd w:val="clear" w:color="auto" w:fill="auto"/>
          </w:tcPr>
          <w:p w:rsidR="003D4615" w:rsidRPr="00DC3F7D" w:rsidRDefault="003D4615" w:rsidP="00DC3F7D">
            <w:pPr>
              <w:autoSpaceDE w:val="0"/>
              <w:autoSpaceDN w:val="0"/>
              <w:adjustRightInd w:val="0"/>
              <w:spacing w:line="360" w:lineRule="auto"/>
              <w:jc w:val="both"/>
              <w:rPr>
                <w:color w:val="000000"/>
                <w:sz w:val="20"/>
                <w:szCs w:val="28"/>
              </w:rPr>
            </w:pPr>
          </w:p>
        </w:tc>
        <w:tc>
          <w:tcPr>
            <w:tcW w:w="694"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500</w:t>
            </w:r>
          </w:p>
        </w:tc>
        <w:tc>
          <w:tcPr>
            <w:tcW w:w="107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-500</w:t>
            </w:r>
          </w:p>
        </w:tc>
        <w:tc>
          <w:tcPr>
            <w:tcW w:w="947"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84,992</w:t>
            </w:r>
          </w:p>
        </w:tc>
        <w:tc>
          <w:tcPr>
            <w:tcW w:w="86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-4249,6</w:t>
            </w:r>
          </w:p>
        </w:tc>
      </w:tr>
    </w:tbl>
    <w:p w:rsidR="00815F59" w:rsidRDefault="00815F59" w:rsidP="00D02ECE">
      <w:pPr>
        <w:autoSpaceDE w:val="0"/>
        <w:autoSpaceDN w:val="0"/>
        <w:adjustRightInd w:val="0"/>
        <w:spacing w:line="360" w:lineRule="auto"/>
        <w:ind w:firstLine="709"/>
        <w:jc w:val="both"/>
        <w:rPr>
          <w:color w:val="000000"/>
          <w:sz w:val="28"/>
          <w:szCs w:val="28"/>
        </w:rPr>
      </w:pP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 xml:space="preserve">Как видно из данных табл. 1, все короткие и все длинные индивидуальные валютные позиции банка по каждой валюте и каждому банковскому металлу (столбец 4) имеют соответствующий знак </w:t>
      </w:r>
      <w:r w:rsidR="00D02ECE" w:rsidRPr="00D02ECE">
        <w:rPr>
          <w:color w:val="000000"/>
          <w:sz w:val="28"/>
          <w:szCs w:val="28"/>
        </w:rPr>
        <w:t>(</w:t>
      </w:r>
      <w:r w:rsidR="00D02ECE">
        <w:rPr>
          <w:color w:val="000000"/>
          <w:sz w:val="28"/>
          <w:szCs w:val="28"/>
        </w:rPr>
        <w:t>«</w:t>
      </w:r>
      <w:r w:rsidR="00D02ECE" w:rsidRPr="00D02ECE">
        <w:rPr>
          <w:color w:val="000000"/>
          <w:sz w:val="28"/>
          <w:szCs w:val="28"/>
        </w:rPr>
        <w:t>плюс</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или </w:t>
      </w:r>
      <w:r w:rsidR="00D02ECE">
        <w:rPr>
          <w:color w:val="000000"/>
          <w:sz w:val="28"/>
          <w:szCs w:val="28"/>
        </w:rPr>
        <w:t>«</w:t>
      </w:r>
      <w:r w:rsidR="00D02ECE" w:rsidRPr="00D02ECE">
        <w:rPr>
          <w:color w:val="000000"/>
          <w:sz w:val="28"/>
          <w:szCs w:val="28"/>
        </w:rPr>
        <w:t>м</w:t>
      </w:r>
      <w:r w:rsidRPr="00D02ECE">
        <w:rPr>
          <w:color w:val="000000"/>
          <w:sz w:val="28"/>
          <w:szCs w:val="28"/>
        </w:rPr>
        <w:t>инус</w:t>
      </w:r>
      <w:r w:rsidR="00D02ECE">
        <w:rPr>
          <w:color w:val="000000"/>
          <w:sz w:val="28"/>
          <w:szCs w:val="28"/>
        </w:rPr>
        <w:t>»</w:t>
      </w:r>
      <w:r w:rsidR="00D02ECE" w:rsidRPr="00D02ECE">
        <w:rPr>
          <w:color w:val="000000"/>
          <w:sz w:val="28"/>
          <w:szCs w:val="28"/>
        </w:rPr>
        <w:t>)</w:t>
      </w:r>
      <w:r w:rsidRPr="00D02ECE">
        <w:rPr>
          <w:color w:val="000000"/>
          <w:sz w:val="28"/>
          <w:szCs w:val="28"/>
        </w:rPr>
        <w:t xml:space="preserve">. Чтобы определить их сумму совокупно (или общую открытую, или длинную, или короткую валютную позиции), все индивидуальные открытые валютные позиции по всем иностранным валютам и банковским металлам необходимо привести к единому знаменателю </w:t>
      </w:r>
      <w:r w:rsidR="00D02ECE">
        <w:rPr>
          <w:color w:val="000000"/>
          <w:sz w:val="28"/>
          <w:szCs w:val="28"/>
        </w:rPr>
        <w:t>–</w:t>
      </w:r>
      <w:r w:rsidR="00D02ECE" w:rsidRPr="00D02ECE">
        <w:rPr>
          <w:color w:val="000000"/>
          <w:sz w:val="28"/>
          <w:szCs w:val="28"/>
        </w:rPr>
        <w:t xml:space="preserve"> </w:t>
      </w:r>
      <w:r w:rsidRPr="00D02ECE">
        <w:rPr>
          <w:color w:val="000000"/>
          <w:sz w:val="28"/>
          <w:szCs w:val="28"/>
        </w:rPr>
        <w:t>гривневому эквиваленту (столбец 6).</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Методики расчета общей открытой валютной позиции банка по всем иностранным валютам и банковским металлам, а также совокупной суммы открытой валютной позиции представлены в табл. 2.</w:t>
      </w:r>
    </w:p>
    <w:p w:rsidR="00815F59" w:rsidRDefault="00815F59" w:rsidP="00D02ECE">
      <w:pPr>
        <w:autoSpaceDE w:val="0"/>
        <w:autoSpaceDN w:val="0"/>
        <w:adjustRightInd w:val="0"/>
        <w:spacing w:line="360" w:lineRule="auto"/>
        <w:ind w:firstLine="709"/>
        <w:jc w:val="both"/>
        <w:rPr>
          <w:bCs/>
          <w:iCs/>
          <w:color w:val="000000"/>
          <w:sz w:val="28"/>
          <w:szCs w:val="28"/>
        </w:rPr>
      </w:pPr>
    </w:p>
    <w:p w:rsidR="003D4615" w:rsidRPr="00D02ECE" w:rsidRDefault="003D4615" w:rsidP="00D02ECE">
      <w:pPr>
        <w:autoSpaceDE w:val="0"/>
        <w:autoSpaceDN w:val="0"/>
        <w:adjustRightInd w:val="0"/>
        <w:spacing w:line="360" w:lineRule="auto"/>
        <w:ind w:firstLine="709"/>
        <w:jc w:val="both"/>
        <w:rPr>
          <w:bCs/>
          <w:color w:val="000000"/>
          <w:sz w:val="28"/>
          <w:szCs w:val="28"/>
        </w:rPr>
      </w:pPr>
      <w:r w:rsidRPr="00D02ECE">
        <w:rPr>
          <w:bCs/>
          <w:iCs/>
          <w:color w:val="000000"/>
          <w:sz w:val="28"/>
          <w:szCs w:val="28"/>
        </w:rPr>
        <w:t>Таблица 2</w:t>
      </w:r>
      <w:r w:rsidR="00815F59">
        <w:rPr>
          <w:bCs/>
          <w:iCs/>
          <w:color w:val="000000"/>
          <w:sz w:val="28"/>
          <w:szCs w:val="28"/>
        </w:rPr>
        <w:t xml:space="preserve">. </w:t>
      </w:r>
      <w:r w:rsidRPr="00D02ECE">
        <w:rPr>
          <w:bCs/>
          <w:color w:val="000000"/>
          <w:sz w:val="28"/>
          <w:szCs w:val="28"/>
        </w:rPr>
        <w:t>Методика расчета обшей открытой валютной позиции банка по всем иностранным валютам и банковским металлам (грн.) (в настоящее время отмененной НБУ *) и методика расчета совокупной суммы открытой валютной позиции банка (рассчитано по данным табл.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9"/>
        <w:gridCol w:w="7181"/>
        <w:gridCol w:w="1517"/>
      </w:tblGrid>
      <w:tr w:rsidR="003D4615" w:rsidRPr="00DC3F7D" w:rsidTr="00DC3F7D">
        <w:trPr>
          <w:cantSplit/>
          <w:trHeight w:val="394"/>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п/п</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Показатель</w:t>
            </w:r>
          </w:p>
        </w:tc>
        <w:tc>
          <w:tcPr>
            <w:tcW w:w="816"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грн.</w:t>
            </w:r>
          </w:p>
        </w:tc>
      </w:tr>
      <w:tr w:rsidR="003D4615" w:rsidRPr="00DC3F7D" w:rsidTr="00DC3F7D">
        <w:trPr>
          <w:cantSplit/>
          <w:trHeight w:val="830"/>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1.</w:t>
            </w:r>
          </w:p>
        </w:tc>
        <w:tc>
          <w:tcPr>
            <w:tcW w:w="3862" w:type="pct"/>
            <w:shd w:val="clear" w:color="auto" w:fill="auto"/>
          </w:tcPr>
          <w:p w:rsidR="003D4615" w:rsidRPr="00DC3F7D" w:rsidRDefault="003D4615" w:rsidP="00DC3F7D">
            <w:pPr>
              <w:autoSpaceDE w:val="0"/>
              <w:autoSpaceDN w:val="0"/>
              <w:adjustRightInd w:val="0"/>
              <w:spacing w:line="360" w:lineRule="auto"/>
              <w:jc w:val="both"/>
              <w:rPr>
                <w:bCs/>
                <w:iCs/>
                <w:color w:val="000000"/>
                <w:sz w:val="20"/>
              </w:rPr>
            </w:pPr>
            <w:r w:rsidRPr="00DC3F7D">
              <w:rPr>
                <w:bCs/>
                <w:iCs/>
                <w:color w:val="000000"/>
                <w:sz w:val="20"/>
              </w:rPr>
              <w:t>Общая открытая валютная позиция банка по всем иностранным валютам и банковским металлам с учетом знака (алгебраическая сумма всех индивидуальных открытых валютных позиций банка по всем иностранным валютам и банковским металлам)</w:t>
            </w:r>
          </w:p>
        </w:tc>
        <w:tc>
          <w:tcPr>
            <w:tcW w:w="816" w:type="pct"/>
            <w:shd w:val="clear" w:color="auto" w:fill="auto"/>
          </w:tcPr>
          <w:p w:rsidR="003D4615" w:rsidRPr="00DC3F7D" w:rsidRDefault="003D4615" w:rsidP="00DC3F7D">
            <w:pPr>
              <w:autoSpaceDE w:val="0"/>
              <w:autoSpaceDN w:val="0"/>
              <w:adjustRightInd w:val="0"/>
              <w:spacing w:line="360" w:lineRule="auto"/>
              <w:jc w:val="both"/>
              <w:rPr>
                <w:bCs/>
                <w:iCs/>
                <w:color w:val="000000"/>
                <w:sz w:val="20"/>
              </w:rPr>
            </w:pPr>
            <w:r w:rsidRPr="00DC3F7D">
              <w:rPr>
                <w:bCs/>
                <w:iCs/>
                <w:color w:val="000000"/>
                <w:sz w:val="20"/>
              </w:rPr>
              <w:t>+6102500,4</w:t>
            </w:r>
          </w:p>
        </w:tc>
      </w:tr>
      <w:tr w:rsidR="003D4615" w:rsidRPr="00DC3F7D" w:rsidTr="00DC3F7D">
        <w:trPr>
          <w:cantSplit/>
          <w:trHeight w:val="422"/>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2.</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Всего коротких открытых валютных позиций банка по всем иностранным валютам</w:t>
            </w:r>
          </w:p>
        </w:tc>
        <w:tc>
          <w:tcPr>
            <w:tcW w:w="816"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-10012500,0</w:t>
            </w:r>
          </w:p>
        </w:tc>
      </w:tr>
      <w:tr w:rsidR="003D4615" w:rsidRPr="00DC3F7D" w:rsidTr="00DC3F7D">
        <w:trPr>
          <w:cantSplit/>
          <w:trHeight w:val="427"/>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3.</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Всего длинных открытых валютных позиций банка по всем иностранным валютам</w:t>
            </w:r>
          </w:p>
        </w:tc>
        <w:tc>
          <w:tcPr>
            <w:tcW w:w="816"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+11650000,0</w:t>
            </w:r>
          </w:p>
        </w:tc>
      </w:tr>
      <w:tr w:rsidR="003D4615" w:rsidRPr="00DC3F7D" w:rsidTr="00DC3F7D">
        <w:trPr>
          <w:cantSplit/>
          <w:trHeight w:val="422"/>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4.</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Всего коротких валютных позиций банка по всем банковским металлам</w:t>
            </w:r>
          </w:p>
        </w:tc>
        <w:tc>
          <w:tcPr>
            <w:tcW w:w="816"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-4249,6</w:t>
            </w:r>
          </w:p>
        </w:tc>
      </w:tr>
      <w:tr w:rsidR="003D4615" w:rsidRPr="00DC3F7D" w:rsidTr="00DC3F7D">
        <w:trPr>
          <w:cantSplit/>
          <w:trHeight w:val="418"/>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5.</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Всего длинных валютных позиций банка по всем банковским металлам</w:t>
            </w:r>
          </w:p>
        </w:tc>
        <w:tc>
          <w:tcPr>
            <w:tcW w:w="816"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+4469250,0</w:t>
            </w:r>
          </w:p>
        </w:tc>
      </w:tr>
      <w:tr w:rsidR="003D4615" w:rsidRPr="00DC3F7D" w:rsidTr="00DC3F7D">
        <w:trPr>
          <w:cantSplit/>
          <w:trHeight w:val="845"/>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6.</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 xml:space="preserve">Общая открытая валютная позиция по всем банковским металлам как соотношение всех длинных и всех коротких валютных позиций в гривневом эквиваленте по всем банковским металлам </w:t>
            </w:r>
            <w:r w:rsidRPr="00DC3F7D">
              <w:rPr>
                <w:bCs/>
                <w:iCs/>
                <w:color w:val="000000"/>
                <w:sz w:val="20"/>
              </w:rPr>
              <w:t xml:space="preserve">без учета знака </w:t>
            </w:r>
            <w:r w:rsidRPr="00DC3F7D">
              <w:rPr>
                <w:bCs/>
                <w:color w:val="000000"/>
                <w:sz w:val="20"/>
              </w:rPr>
              <w:t>(строка 4 + строка 5)</w:t>
            </w:r>
          </w:p>
        </w:tc>
        <w:tc>
          <w:tcPr>
            <w:tcW w:w="816" w:type="pct"/>
            <w:shd w:val="clear" w:color="auto" w:fill="auto"/>
          </w:tcPr>
          <w:p w:rsidR="003D4615" w:rsidRPr="00DC3F7D" w:rsidRDefault="003D4615" w:rsidP="00DC3F7D">
            <w:pPr>
              <w:autoSpaceDE w:val="0"/>
              <w:autoSpaceDN w:val="0"/>
              <w:adjustRightInd w:val="0"/>
              <w:spacing w:line="360" w:lineRule="auto"/>
              <w:jc w:val="both"/>
              <w:rPr>
                <w:bCs/>
                <w:iCs/>
                <w:color w:val="000000"/>
                <w:sz w:val="20"/>
              </w:rPr>
            </w:pPr>
            <w:r w:rsidRPr="00DC3F7D">
              <w:rPr>
                <w:bCs/>
                <w:iCs/>
                <w:color w:val="000000"/>
                <w:sz w:val="20"/>
              </w:rPr>
              <w:t>4473499,6</w:t>
            </w:r>
          </w:p>
        </w:tc>
      </w:tr>
      <w:tr w:rsidR="003D4615" w:rsidRPr="00DC3F7D" w:rsidTr="00DC3F7D">
        <w:trPr>
          <w:cantSplit/>
          <w:trHeight w:val="1267"/>
          <w:jc w:val="center"/>
        </w:trPr>
        <w:tc>
          <w:tcPr>
            <w:tcW w:w="32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7.</w:t>
            </w:r>
          </w:p>
        </w:tc>
        <w:tc>
          <w:tcPr>
            <w:tcW w:w="3862"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Совокупная сумма открытой валютной позиции (строка 3 + строка 6) по всем валютам и всем банковским металлам (без учета знака), которая учитывается в расчете норматива Н2 (строка 3 взята потому, что в нашем примере она по абсолютной величине большая из двух: всего коротких и всего длинных открытых валютных позиций по всем валютам)</w:t>
            </w:r>
          </w:p>
        </w:tc>
        <w:tc>
          <w:tcPr>
            <w:tcW w:w="816" w:type="pct"/>
            <w:shd w:val="clear" w:color="auto" w:fill="auto"/>
          </w:tcPr>
          <w:p w:rsidR="003D4615" w:rsidRPr="00DC3F7D" w:rsidRDefault="003D4615" w:rsidP="00DC3F7D">
            <w:pPr>
              <w:autoSpaceDE w:val="0"/>
              <w:autoSpaceDN w:val="0"/>
              <w:adjustRightInd w:val="0"/>
              <w:spacing w:line="360" w:lineRule="auto"/>
              <w:jc w:val="both"/>
              <w:rPr>
                <w:bCs/>
                <w:color w:val="000000"/>
                <w:sz w:val="20"/>
              </w:rPr>
            </w:pPr>
            <w:r w:rsidRPr="00DC3F7D">
              <w:rPr>
                <w:bCs/>
                <w:color w:val="000000"/>
                <w:sz w:val="20"/>
              </w:rPr>
              <w:t>16123499,6</w:t>
            </w:r>
          </w:p>
        </w:tc>
      </w:tr>
    </w:tbl>
    <w:p w:rsidR="003D4615" w:rsidRPr="00D02ECE" w:rsidRDefault="003D4615" w:rsidP="00D02ECE">
      <w:pPr>
        <w:autoSpaceDE w:val="0"/>
        <w:autoSpaceDN w:val="0"/>
        <w:adjustRightInd w:val="0"/>
        <w:spacing w:line="360" w:lineRule="auto"/>
        <w:ind w:firstLine="709"/>
        <w:jc w:val="both"/>
        <w:rPr>
          <w:color w:val="000000"/>
          <w:sz w:val="28"/>
          <w:szCs w:val="28"/>
          <w:lang w:val="uk-UA" w:eastAsia="uk-UA"/>
        </w:rPr>
      </w:pPr>
    </w:p>
    <w:p w:rsidR="003D4615" w:rsidRPr="00D02ECE" w:rsidRDefault="003D4615" w:rsidP="00D02ECE">
      <w:pPr>
        <w:autoSpaceDE w:val="0"/>
        <w:autoSpaceDN w:val="0"/>
        <w:adjustRightInd w:val="0"/>
        <w:spacing w:line="360" w:lineRule="auto"/>
        <w:ind w:firstLine="709"/>
        <w:jc w:val="both"/>
        <w:rPr>
          <w:color w:val="000000"/>
          <w:sz w:val="28"/>
          <w:szCs w:val="28"/>
          <w:lang w:eastAsia="uk-UA"/>
        </w:rPr>
      </w:pPr>
      <w:r w:rsidRPr="00815F59">
        <w:rPr>
          <w:color w:val="000000"/>
          <w:sz w:val="28"/>
          <w:szCs w:val="28"/>
          <w:lang w:eastAsia="uk-UA"/>
        </w:rPr>
        <w:t>Как</w:t>
      </w:r>
      <w:r w:rsidRPr="00D02ECE">
        <w:rPr>
          <w:color w:val="000000"/>
          <w:sz w:val="28"/>
          <w:szCs w:val="28"/>
          <w:lang w:val="uk-UA" w:eastAsia="uk-UA"/>
        </w:rPr>
        <w:t xml:space="preserve"> видно</w:t>
      </w:r>
      <w:r w:rsidRPr="00D02ECE">
        <w:rPr>
          <w:color w:val="000000"/>
          <w:sz w:val="28"/>
          <w:szCs w:val="28"/>
          <w:lang w:eastAsia="uk-UA"/>
        </w:rPr>
        <w:t xml:space="preserve"> из данных табл. 2,</w:t>
      </w:r>
      <w:r w:rsidRPr="00D02ECE">
        <w:rPr>
          <w:color w:val="000000"/>
          <w:sz w:val="28"/>
          <w:szCs w:val="28"/>
          <w:lang w:val="uk-UA" w:eastAsia="uk-UA"/>
        </w:rPr>
        <w:t xml:space="preserve"> </w:t>
      </w:r>
      <w:r w:rsidRPr="00815F59">
        <w:rPr>
          <w:color w:val="000000"/>
          <w:sz w:val="28"/>
          <w:szCs w:val="28"/>
          <w:lang w:eastAsia="uk-UA"/>
        </w:rPr>
        <w:t>реальная</w:t>
      </w:r>
      <w:r w:rsidRPr="00D02ECE">
        <w:rPr>
          <w:color w:val="000000"/>
          <w:sz w:val="28"/>
          <w:szCs w:val="28"/>
          <w:lang w:eastAsia="uk-UA"/>
        </w:rPr>
        <w:t xml:space="preserve"> общая открытая валютная позиция банка по всем валютам и банковским металлам рассчитывается согласно ее теоретическому содержанию как соотношение (разница или алгебраическая сумма) всех длинных и всех коротких валютных позиций по всем иностранным валютам и всем банковским металлам в гривневом эквиваленте и составляет +6102500,4 грн., то есть является длинной. Это свидетельствует о том, что банк к концу рабочего дня по итогу является кредитором на валютном рынке, поскольку его требования превышают его обязательства. При таких условиях банку во избежание валютного риска необходимо создать закрытую валютную позицию, для чего ему необходимо купить иностранные валюты и</w:t>
      </w:r>
      <w:r w:rsidR="00D02ECE">
        <w:rPr>
          <w:color w:val="000000"/>
          <w:sz w:val="28"/>
          <w:szCs w:val="28"/>
          <w:lang w:eastAsia="uk-UA"/>
        </w:rPr>
        <w:t> / </w:t>
      </w:r>
      <w:r w:rsidR="00D02ECE" w:rsidRPr="00D02ECE">
        <w:rPr>
          <w:color w:val="000000"/>
          <w:sz w:val="28"/>
          <w:szCs w:val="28"/>
          <w:lang w:eastAsia="uk-UA"/>
        </w:rPr>
        <w:t>или</w:t>
      </w:r>
      <w:r w:rsidRPr="00D02ECE">
        <w:rPr>
          <w:color w:val="000000"/>
          <w:sz w:val="28"/>
          <w:szCs w:val="28"/>
          <w:lang w:eastAsia="uk-UA"/>
        </w:rPr>
        <w:t xml:space="preserve"> банковские металлы (то есть увеличить свои обязательства) на суммарную величину, эквивалентную общей сумме длинной валютной позиции (но с противоположным знаком, то есть на сумму -6102500,4 грн., что, по методике ЦБ РФ, и является балансирующей позици</w:t>
      </w:r>
      <w:r w:rsidRPr="00D02ECE">
        <w:rPr>
          <w:color w:val="000000"/>
          <w:sz w:val="28"/>
          <w:szCs w:val="28"/>
        </w:rPr>
        <w:t>ей в национальной валюте, которая создает равенство абсолютных значений длинных и коротких валютных позиций, в связи с чем их сумма не имеет знака.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Исходя из табл. 2, общая открытая валютная позиция банка по всем иностранным валютам и банковским металлам рассчитывается (по данным табл. 1) в один этап (как алгебраическая сумма всех индивидуальных открытых валютных позиций по всем иностранным валютам и банковским металлам), Что касается методики вычисления совокупной суммы открытой валютной позиции, то это происходит в три этапа.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На первом этапе определения позиции банка отдельно рассчитываются сумма всех индивидуальных длинных валютных позиций и сумма всех индивидуальных коротких валютных позиций банка только в иностранных валютах (строки 2 и 3 табл. 2), из которых выбирается (а не рассчитывается как разница!) большая из двух сумм.</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На втором этапе определяется валютная позиция во всех банковских металлах как сумма абсолютных значений всех индивидуальных длинных и всех индивидуальных коротких валютных позиций в банковских металлах без учета знака (строки 4 и 5 табл. 2).</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На третьем этап</w:t>
      </w:r>
      <w:r w:rsidR="00D02ECE" w:rsidRPr="00D02ECE">
        <w:rPr>
          <w:color w:val="000000"/>
          <w:sz w:val="28"/>
          <w:szCs w:val="28"/>
        </w:rPr>
        <w:t>е</w:t>
      </w:r>
      <w:r w:rsidR="00D02ECE">
        <w:rPr>
          <w:color w:val="000000"/>
          <w:sz w:val="28"/>
          <w:szCs w:val="28"/>
        </w:rPr>
        <w:t xml:space="preserve">»… </w:t>
      </w:r>
      <w:r w:rsidR="00D02ECE" w:rsidRPr="00D02ECE">
        <w:rPr>
          <w:color w:val="000000"/>
          <w:sz w:val="28"/>
          <w:szCs w:val="28"/>
        </w:rPr>
        <w:t>к</w:t>
      </w:r>
      <w:r w:rsidRPr="00D02ECE">
        <w:rPr>
          <w:color w:val="000000"/>
          <w:sz w:val="28"/>
          <w:szCs w:val="28"/>
        </w:rPr>
        <w:t xml:space="preserve"> большей сумме (длинной или короткой) открытой валютной позиции банка во всех иностранных валютах (строка 3, табл. 2) добавляется сумма </w:t>
      </w:r>
      <w:r w:rsidR="00D02ECE">
        <w:rPr>
          <w:color w:val="000000"/>
          <w:sz w:val="28"/>
          <w:szCs w:val="28"/>
        </w:rPr>
        <w:t>«</w:t>
      </w:r>
      <w:r w:rsidR="00D02ECE" w:rsidRPr="00D02ECE">
        <w:rPr>
          <w:color w:val="000000"/>
          <w:sz w:val="28"/>
          <w:szCs w:val="28"/>
        </w:rPr>
        <w:t>о</w:t>
      </w:r>
      <w:r w:rsidRPr="00D02ECE">
        <w:rPr>
          <w:color w:val="000000"/>
          <w:sz w:val="28"/>
          <w:szCs w:val="28"/>
        </w:rPr>
        <w:t>бщей</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открытой валютной позиции банка во всех банковских металлах (строка 6, табл. 2) (без учета знака). </w:t>
      </w:r>
      <w:r w:rsidRPr="00D02ECE">
        <w:rPr>
          <w:iCs/>
          <w:color w:val="000000"/>
          <w:sz w:val="28"/>
          <w:szCs w:val="28"/>
        </w:rPr>
        <w:t>Полученное значение является совокупной суммой открытой валютной позиции банка по всем иностранным валютам и банковским металлам</w:t>
      </w:r>
      <w:r w:rsidR="00D02ECE">
        <w:rPr>
          <w:iCs/>
          <w:color w:val="000000"/>
          <w:sz w:val="28"/>
          <w:szCs w:val="28"/>
        </w:rPr>
        <w:t>»</w:t>
      </w:r>
      <w:r w:rsidR="00D02ECE" w:rsidRPr="00D02ECE">
        <w:rPr>
          <w:i/>
          <w:iCs/>
          <w:color w:val="000000"/>
          <w:sz w:val="28"/>
          <w:szCs w:val="28"/>
        </w:rPr>
        <w:t>,</w:t>
      </w:r>
      <w:r w:rsidRPr="00D02ECE">
        <w:rPr>
          <w:i/>
          <w:iCs/>
          <w:color w:val="000000"/>
          <w:sz w:val="28"/>
          <w:szCs w:val="28"/>
        </w:rPr>
        <w:t xml:space="preserve"> </w:t>
      </w:r>
      <w:r w:rsidRPr="00D02ECE">
        <w:rPr>
          <w:color w:val="000000"/>
          <w:sz w:val="28"/>
          <w:szCs w:val="28"/>
        </w:rPr>
        <w:t xml:space="preserve">хотя на самом деле это значение вообще не отражает сущность открытой валютной позиции, поскольку оно, во-первых, определено </w:t>
      </w:r>
      <w:r w:rsidR="00D02ECE">
        <w:rPr>
          <w:color w:val="000000"/>
          <w:sz w:val="28"/>
          <w:szCs w:val="28"/>
        </w:rPr>
        <w:t>«</w:t>
      </w:r>
      <w:r w:rsidR="00D02ECE" w:rsidRPr="00D02ECE">
        <w:rPr>
          <w:color w:val="000000"/>
          <w:sz w:val="28"/>
          <w:szCs w:val="28"/>
        </w:rPr>
        <w:t>б</w:t>
      </w:r>
      <w:r w:rsidRPr="00D02ECE">
        <w:rPr>
          <w:color w:val="000000"/>
          <w:sz w:val="28"/>
          <w:szCs w:val="28"/>
        </w:rPr>
        <w:t>ез учета знака</w:t>
      </w:r>
      <w:r w:rsidR="00D02ECE">
        <w:rPr>
          <w:color w:val="000000"/>
          <w:sz w:val="28"/>
          <w:szCs w:val="28"/>
        </w:rPr>
        <w:t>»</w:t>
      </w:r>
      <w:r w:rsidR="00D02ECE" w:rsidRPr="00D02ECE">
        <w:rPr>
          <w:color w:val="000000"/>
          <w:sz w:val="28"/>
          <w:szCs w:val="28"/>
        </w:rPr>
        <w:t>,</w:t>
      </w:r>
      <w:r w:rsidRPr="00D02ECE">
        <w:rPr>
          <w:color w:val="000000"/>
          <w:sz w:val="28"/>
          <w:szCs w:val="28"/>
        </w:rPr>
        <w:t xml:space="preserve"> а во-вторых, </w:t>
      </w:r>
      <w:r w:rsidR="00D02ECE">
        <w:rPr>
          <w:color w:val="000000"/>
          <w:sz w:val="28"/>
          <w:szCs w:val="28"/>
        </w:rPr>
        <w:t>–</w:t>
      </w:r>
      <w:r w:rsidR="00D02ECE" w:rsidRPr="00D02ECE">
        <w:rPr>
          <w:color w:val="000000"/>
          <w:sz w:val="28"/>
          <w:szCs w:val="28"/>
        </w:rPr>
        <w:t xml:space="preserve"> </w:t>
      </w:r>
      <w:r w:rsidRPr="00D02ECE">
        <w:rPr>
          <w:color w:val="000000"/>
          <w:sz w:val="28"/>
          <w:szCs w:val="28"/>
        </w:rPr>
        <w:t>не учитывает меньшую (длинную или короткую) открытую валютную позицию во всех иностранных валютах и поэтому вообще не имеет последовательной логики расчета.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Изложенное позволяет сделать вывод о том, что совокупная сумма открытой валютной позиции противоречит теоретическому содержанию общей (или совокупной как синонима общей) открытой валютной позиции банка. К тому же, сумма совокупной открытой валютной позиции, вычисленная по методике НБУ, используется лишь при расчете норматива адекватности регулятивного капитала (Н2), по котором</w:t>
      </w:r>
      <w:r w:rsidR="00D02ECE" w:rsidRPr="00D02ECE">
        <w:rPr>
          <w:color w:val="000000"/>
          <w:sz w:val="28"/>
          <w:szCs w:val="28"/>
        </w:rPr>
        <w:t>у</w:t>
      </w:r>
      <w:r w:rsidR="00D02ECE">
        <w:rPr>
          <w:color w:val="000000"/>
          <w:sz w:val="28"/>
          <w:szCs w:val="28"/>
        </w:rPr>
        <w:t xml:space="preserve">»… </w:t>
      </w:r>
      <w:r w:rsidR="00D02ECE" w:rsidRPr="00D02ECE">
        <w:rPr>
          <w:color w:val="000000"/>
          <w:sz w:val="28"/>
          <w:szCs w:val="28"/>
        </w:rPr>
        <w:t>к</w:t>
      </w:r>
      <w:r w:rsidRPr="00D02ECE">
        <w:rPr>
          <w:color w:val="000000"/>
          <w:sz w:val="28"/>
          <w:szCs w:val="28"/>
        </w:rPr>
        <w:t xml:space="preserve"> суммарным активам и определенным внебалансовым инструментам, взвешенным по степени кредитного риска, добавляется и </w:t>
      </w:r>
      <w:r w:rsidRPr="00D02ECE">
        <w:rPr>
          <w:bCs/>
          <w:iCs/>
          <w:color w:val="000000"/>
          <w:sz w:val="28"/>
          <w:szCs w:val="28"/>
        </w:rPr>
        <w:t xml:space="preserve">совокупная сумма </w:t>
      </w:r>
      <w:r w:rsidRPr="00D02ECE">
        <w:rPr>
          <w:iCs/>
          <w:color w:val="000000"/>
          <w:sz w:val="28"/>
          <w:szCs w:val="28"/>
        </w:rPr>
        <w:t>открытой валютной позиции по всем иностранным валютам и банковским металлам</w:t>
      </w:r>
      <w:r w:rsidR="00D02ECE">
        <w:rPr>
          <w:iCs/>
          <w:color w:val="000000"/>
          <w:sz w:val="28"/>
          <w:szCs w:val="28"/>
        </w:rPr>
        <w:t>»</w:t>
      </w:r>
      <w:r w:rsidR="00D02ECE" w:rsidRPr="00D02ECE">
        <w:rPr>
          <w:i/>
          <w:iCs/>
          <w:color w:val="000000"/>
          <w:sz w:val="28"/>
          <w:szCs w:val="28"/>
        </w:rPr>
        <w:t>,</w:t>
      </w:r>
      <w:r w:rsidRPr="00D02ECE">
        <w:rPr>
          <w:i/>
          <w:iCs/>
          <w:color w:val="000000"/>
          <w:sz w:val="28"/>
          <w:szCs w:val="28"/>
        </w:rPr>
        <w:t xml:space="preserve"> </w:t>
      </w:r>
      <w:r w:rsidRPr="00D02ECE">
        <w:rPr>
          <w:color w:val="000000"/>
          <w:sz w:val="28"/>
          <w:szCs w:val="28"/>
        </w:rPr>
        <w:t>в которую, однако</w:t>
      </w:r>
      <w:r w:rsidR="00D02ECE" w:rsidRPr="00D02ECE">
        <w:rPr>
          <w:color w:val="000000"/>
          <w:sz w:val="28"/>
          <w:szCs w:val="28"/>
        </w:rPr>
        <w:t>,</w:t>
      </w:r>
      <w:r w:rsidR="00D02ECE">
        <w:rPr>
          <w:color w:val="000000"/>
          <w:sz w:val="28"/>
          <w:szCs w:val="28"/>
        </w:rPr>
        <w:t xml:space="preserve">»… </w:t>
      </w:r>
      <w:r w:rsidR="00D02ECE" w:rsidRPr="00D02ECE">
        <w:rPr>
          <w:color w:val="000000"/>
          <w:sz w:val="28"/>
          <w:szCs w:val="28"/>
        </w:rPr>
        <w:t>н</w:t>
      </w:r>
      <w:r w:rsidRPr="00D02ECE">
        <w:rPr>
          <w:color w:val="000000"/>
          <w:sz w:val="28"/>
          <w:szCs w:val="28"/>
        </w:rPr>
        <w:t xml:space="preserve">е включаются активы, на которые уменьшается регулятивный капитал банка (Н1), в соответствии с подпунктами </w:t>
      </w:r>
      <w:r w:rsidR="00D02ECE">
        <w:rPr>
          <w:color w:val="000000"/>
          <w:sz w:val="28"/>
          <w:szCs w:val="28"/>
        </w:rPr>
        <w:t>«</w:t>
      </w:r>
      <w:r w:rsidR="00D02ECE" w:rsidRPr="00D02ECE">
        <w:rPr>
          <w:color w:val="000000"/>
          <w:sz w:val="28"/>
          <w:szCs w:val="28"/>
        </w:rPr>
        <w:t>а</w:t>
      </w:r>
      <w:r w:rsidR="00D02ECE">
        <w:rPr>
          <w:color w:val="000000"/>
          <w:sz w:val="28"/>
          <w:szCs w:val="28"/>
        </w:rPr>
        <w:t>»</w:t>
      </w:r>
      <w:r w:rsidR="00D02ECE" w:rsidRPr="00D02ECE">
        <w:rPr>
          <w:color w:val="000000"/>
          <w:sz w:val="28"/>
          <w:szCs w:val="28"/>
        </w:rPr>
        <w:t>,</w:t>
      </w:r>
      <w:r w:rsidRPr="00D02ECE">
        <w:rPr>
          <w:color w:val="000000"/>
          <w:sz w:val="28"/>
          <w:szCs w:val="28"/>
        </w:rPr>
        <w:t xml:space="preserve"> </w:t>
      </w:r>
      <w:r w:rsidR="00D02ECE">
        <w:rPr>
          <w:color w:val="000000"/>
          <w:sz w:val="28"/>
          <w:szCs w:val="28"/>
        </w:rPr>
        <w:t>«</w:t>
      </w:r>
      <w:r w:rsidR="00D02ECE" w:rsidRPr="00D02ECE">
        <w:rPr>
          <w:color w:val="000000"/>
          <w:sz w:val="28"/>
          <w:szCs w:val="28"/>
        </w:rPr>
        <w:t>б</w:t>
      </w:r>
      <w:r w:rsidR="00D02ECE">
        <w:rPr>
          <w:color w:val="000000"/>
          <w:sz w:val="28"/>
          <w:szCs w:val="28"/>
        </w:rPr>
        <w:t>»</w:t>
      </w:r>
      <w:r w:rsidR="00D02ECE" w:rsidRPr="00D02ECE">
        <w:rPr>
          <w:color w:val="000000"/>
          <w:sz w:val="28"/>
          <w:szCs w:val="28"/>
        </w:rPr>
        <w:t>,</w:t>
      </w:r>
      <w:r w:rsidRPr="00D02ECE">
        <w:rPr>
          <w:color w:val="000000"/>
          <w:sz w:val="28"/>
          <w:szCs w:val="28"/>
        </w:rPr>
        <w:t xml:space="preserve"> </w:t>
      </w:r>
      <w:r w:rsidR="00D02ECE">
        <w:rPr>
          <w:color w:val="000000"/>
          <w:sz w:val="28"/>
          <w:szCs w:val="28"/>
        </w:rPr>
        <w:t>«</w:t>
      </w:r>
      <w:r w:rsidR="00D02ECE" w:rsidRPr="00D02ECE">
        <w:rPr>
          <w:color w:val="000000"/>
          <w:sz w:val="28"/>
          <w:szCs w:val="28"/>
        </w:rPr>
        <w:t>в</w:t>
      </w:r>
      <w:r w:rsidR="00D02ECE">
        <w:rPr>
          <w:color w:val="000000"/>
          <w:sz w:val="28"/>
          <w:szCs w:val="28"/>
        </w:rPr>
        <w:t>»</w:t>
      </w:r>
      <w:r w:rsidR="00D02ECE" w:rsidRPr="00D02ECE">
        <w:rPr>
          <w:color w:val="000000"/>
          <w:sz w:val="28"/>
          <w:szCs w:val="28"/>
        </w:rPr>
        <w:t>,</w:t>
      </w:r>
      <w:r w:rsidRPr="00D02ECE">
        <w:rPr>
          <w:color w:val="000000"/>
          <w:sz w:val="28"/>
          <w:szCs w:val="28"/>
        </w:rPr>
        <w:t xml:space="preserve"> </w:t>
      </w:r>
      <w:r w:rsidR="00D02ECE">
        <w:rPr>
          <w:color w:val="000000"/>
          <w:sz w:val="28"/>
          <w:szCs w:val="28"/>
        </w:rPr>
        <w:t>«</w:t>
      </w:r>
      <w:r w:rsidR="00D02ECE" w:rsidRPr="00D02ECE">
        <w:rPr>
          <w:color w:val="000000"/>
          <w:sz w:val="28"/>
          <w:szCs w:val="28"/>
        </w:rPr>
        <w:t>е</w:t>
      </w:r>
      <w:r w:rsidR="00D02ECE">
        <w:rPr>
          <w:color w:val="000000"/>
          <w:sz w:val="28"/>
          <w:szCs w:val="28"/>
        </w:rPr>
        <w:t>»</w:t>
      </w:r>
      <w:r w:rsidR="00D02ECE" w:rsidRPr="00D02ECE">
        <w:rPr>
          <w:color w:val="000000"/>
          <w:sz w:val="28"/>
          <w:szCs w:val="28"/>
        </w:rPr>
        <w:t xml:space="preserve"> </w:t>
      </w:r>
      <w:r w:rsidRPr="00D02ECE">
        <w:rPr>
          <w:color w:val="000000"/>
          <w:sz w:val="28"/>
          <w:szCs w:val="28"/>
        </w:rPr>
        <w:t>пункта 1.7 главы 1 раздела II этой инструкции</w:t>
      </w:r>
      <w:r w:rsidR="00D02ECE">
        <w:rPr>
          <w:color w:val="000000"/>
          <w:sz w:val="28"/>
          <w:szCs w:val="28"/>
        </w:rPr>
        <w:t>»</w:t>
      </w:r>
      <w:r w:rsidR="00D02ECE" w:rsidRPr="00D02ECE">
        <w:rPr>
          <w:color w:val="000000"/>
          <w:sz w:val="28"/>
          <w:szCs w:val="28"/>
        </w:rPr>
        <w:t>,</w:t>
      </w:r>
      <w:r w:rsidRPr="00D02ECE">
        <w:rPr>
          <w:color w:val="000000"/>
          <w:sz w:val="28"/>
          <w:szCs w:val="28"/>
        </w:rPr>
        <w:t xml:space="preserve"> что противоречит единой сущности общей (совокупной) открытой валютной позиции коммерческого банка. И дело тут совсем не в том, для чего вычисляется общая (совокупная) сумма открытой валютной позиции: для расчета норматива адекватности регулятивного капитала (Н2) или для расчета норматива (или лимита) риска общей открытой валютной позиции (Н13 или Л13), поскольку в любом случае содержание и, соответственно, методика расчета общей (или совокупной) открытой валютной позиции, на наш взгляд, не должны отличаться друг от друга в зависимости от цели их использования. Мы считаем, что при таких условиях следует вообще отказаться от понятия </w:t>
      </w:r>
      <w:r w:rsidR="00D02ECE">
        <w:rPr>
          <w:color w:val="000000"/>
          <w:sz w:val="28"/>
          <w:szCs w:val="28"/>
        </w:rPr>
        <w:t>«</w:t>
      </w:r>
      <w:r w:rsidR="00D02ECE" w:rsidRPr="00D02ECE">
        <w:rPr>
          <w:color w:val="000000"/>
          <w:sz w:val="28"/>
          <w:szCs w:val="28"/>
        </w:rPr>
        <w:t>с</w:t>
      </w:r>
      <w:r w:rsidRPr="00D02ECE">
        <w:rPr>
          <w:color w:val="000000"/>
          <w:sz w:val="28"/>
          <w:szCs w:val="28"/>
        </w:rPr>
        <w:t>овокупная</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сумма открытой валютной позиции банка как синонима </w:t>
      </w:r>
      <w:r w:rsidR="00D02ECE">
        <w:rPr>
          <w:color w:val="000000"/>
          <w:sz w:val="28"/>
          <w:szCs w:val="28"/>
        </w:rPr>
        <w:t>«</w:t>
      </w:r>
      <w:r w:rsidR="00D02ECE" w:rsidRPr="00D02ECE">
        <w:rPr>
          <w:color w:val="000000"/>
          <w:sz w:val="28"/>
          <w:szCs w:val="28"/>
        </w:rPr>
        <w:t>о</w:t>
      </w:r>
      <w:r w:rsidRPr="00D02ECE">
        <w:rPr>
          <w:color w:val="000000"/>
          <w:sz w:val="28"/>
          <w:szCs w:val="28"/>
        </w:rPr>
        <w:t>бщая</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открытая валютная позиция или употреблять более точное определение тех средств, которые учитываются при вычислении норматива Н2: например, </w:t>
      </w:r>
      <w:r w:rsidR="00D02ECE">
        <w:rPr>
          <w:color w:val="000000"/>
          <w:sz w:val="28"/>
          <w:szCs w:val="28"/>
        </w:rPr>
        <w:t>«</w:t>
      </w:r>
      <w:r w:rsidR="00D02ECE" w:rsidRPr="00D02ECE">
        <w:rPr>
          <w:color w:val="000000"/>
          <w:sz w:val="28"/>
          <w:szCs w:val="28"/>
        </w:rPr>
        <w:t>с</w:t>
      </w:r>
      <w:r w:rsidRPr="00D02ECE">
        <w:rPr>
          <w:color w:val="000000"/>
          <w:sz w:val="28"/>
          <w:szCs w:val="28"/>
        </w:rPr>
        <w:t>овокупный объем операций банка с банковскими металлами и большей из двух сумм абсолютных величин индивидуальных (длинной или короткой) валютных позиций банка по всем валютам (без учета знака)</w:t>
      </w:r>
      <w:r w:rsidR="00D02ECE">
        <w:rPr>
          <w:color w:val="000000"/>
          <w:sz w:val="28"/>
          <w:szCs w:val="28"/>
        </w:rPr>
        <w:t>»</w:t>
      </w:r>
      <w:r w:rsidR="00D02ECE" w:rsidRPr="00D02ECE">
        <w:rPr>
          <w:color w:val="000000"/>
          <w:sz w:val="28"/>
          <w:szCs w:val="28"/>
        </w:rPr>
        <w:t>.</w:t>
      </w:r>
      <w:r w:rsidRPr="00D02ECE">
        <w:rPr>
          <w:color w:val="000000"/>
          <w:sz w:val="28"/>
          <w:szCs w:val="28"/>
        </w:rPr>
        <w:t xml:space="preserve"> И хотя такое определение не лаконично, оно точно отражает методику его расчета и заложенное в него содержание.</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Не случайно, что при такой методике расчета совокупной суммы открытой валютной позиции (в отличие от размера общей открытой валютной позиции по всем валютам и банковским металлам с учетом знака) она на порядок выше и составляет 16123499,6 грн., а не +6102500,4 грн. Понятно, что рассчитанная таким образом совокупная сумма открытой валютной позиции банка искажает значение норматива адекватности регулятивного капитала, потому чт</w:t>
      </w:r>
      <w:r w:rsidR="00D02ECE" w:rsidRPr="00D02ECE">
        <w:rPr>
          <w:color w:val="000000"/>
          <w:sz w:val="28"/>
          <w:szCs w:val="28"/>
        </w:rPr>
        <w:t>о</w:t>
      </w:r>
      <w:r w:rsidR="00D02ECE">
        <w:rPr>
          <w:color w:val="000000"/>
          <w:sz w:val="28"/>
          <w:szCs w:val="28"/>
        </w:rPr>
        <w:t xml:space="preserve">»… </w:t>
      </w:r>
      <w:r w:rsidR="00D02ECE" w:rsidRPr="00D02ECE">
        <w:rPr>
          <w:color w:val="000000"/>
          <w:sz w:val="28"/>
          <w:szCs w:val="28"/>
        </w:rPr>
        <w:t>в</w:t>
      </w:r>
      <w:r w:rsidRPr="00D02ECE">
        <w:rPr>
          <w:color w:val="000000"/>
          <w:sz w:val="28"/>
          <w:szCs w:val="28"/>
        </w:rPr>
        <w:t xml:space="preserve">о время расчета показателя адекватности регулятивного капитала к суммарным активам и определенным внебалансовым инструментам, взвешенным по степени кредитного риска, </w:t>
      </w:r>
      <w:r w:rsidRPr="00D02ECE">
        <w:rPr>
          <w:iCs/>
          <w:color w:val="000000"/>
          <w:sz w:val="28"/>
          <w:szCs w:val="28"/>
        </w:rPr>
        <w:t>прибавляется совокупная сумма открытой валютной позиции банка по всем иностранным валютам и банковским металлам</w:t>
      </w:r>
      <w:r w:rsidR="00D02ECE">
        <w:rPr>
          <w:iCs/>
          <w:color w:val="000000"/>
          <w:sz w:val="28"/>
          <w:szCs w:val="28"/>
        </w:rPr>
        <w:t>»</w:t>
      </w:r>
      <w:r w:rsidR="00D02ECE" w:rsidRPr="00D02ECE">
        <w:rPr>
          <w:i/>
          <w:iCs/>
          <w:color w:val="000000"/>
          <w:sz w:val="28"/>
          <w:szCs w:val="28"/>
        </w:rPr>
        <w:t>.</w:t>
      </w:r>
      <w:r w:rsidRPr="00D02ECE">
        <w:rPr>
          <w:i/>
          <w:iCs/>
          <w:color w:val="000000"/>
          <w:sz w:val="28"/>
          <w:szCs w:val="28"/>
        </w:rPr>
        <w:t xml:space="preserve"> </w:t>
      </w:r>
      <w:r w:rsidRPr="00D02ECE">
        <w:rPr>
          <w:color w:val="000000"/>
          <w:sz w:val="28"/>
          <w:szCs w:val="28"/>
        </w:rPr>
        <w:t xml:space="preserve">Однако из того, что показателем адекватности регулятивного капитала является отношение регулятивного капитала банка к его суммарным активам, вытекает, что величина именно этого показателя (адекватности регулятивного капитала) напрямую зависит от научного обоснования методики расчета размера так называемой </w:t>
      </w:r>
      <w:r w:rsidR="00D02ECE">
        <w:rPr>
          <w:color w:val="000000"/>
          <w:sz w:val="28"/>
          <w:szCs w:val="28"/>
        </w:rPr>
        <w:t>«</w:t>
      </w:r>
      <w:r w:rsidR="00D02ECE" w:rsidRPr="00D02ECE">
        <w:rPr>
          <w:color w:val="000000"/>
          <w:sz w:val="28"/>
          <w:szCs w:val="28"/>
        </w:rPr>
        <w:t>с</w:t>
      </w:r>
      <w:r w:rsidRPr="00D02ECE">
        <w:rPr>
          <w:color w:val="000000"/>
          <w:sz w:val="28"/>
          <w:szCs w:val="28"/>
        </w:rPr>
        <w:t>овокупной суммы</w:t>
      </w:r>
      <w:r w:rsidR="00D02ECE">
        <w:rPr>
          <w:color w:val="000000"/>
          <w:sz w:val="28"/>
          <w:szCs w:val="28"/>
        </w:rPr>
        <w:t>»</w:t>
      </w:r>
      <w:r w:rsidR="00D02ECE" w:rsidRPr="00D02ECE">
        <w:rPr>
          <w:color w:val="000000"/>
          <w:sz w:val="28"/>
          <w:szCs w:val="28"/>
        </w:rPr>
        <w:t xml:space="preserve"> </w:t>
      </w:r>
      <w:r w:rsidRPr="00D02ECE">
        <w:rPr>
          <w:color w:val="000000"/>
          <w:sz w:val="28"/>
          <w:szCs w:val="28"/>
        </w:rPr>
        <w:t>открытой валютной позиции, и поэтому этот показатель будет искусственно уменьшаться за счет увеличения его знаменателя, отражая тем самым обманчивое уменьшение риска, который принимают на себя вкладчики банка.</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 xml:space="preserve">В </w:t>
      </w:r>
      <w:r w:rsidR="00D02ECE">
        <w:rPr>
          <w:color w:val="000000"/>
          <w:sz w:val="28"/>
          <w:szCs w:val="28"/>
        </w:rPr>
        <w:t>«</w:t>
      </w:r>
      <w:r w:rsidR="00D02ECE" w:rsidRPr="00D02ECE">
        <w:rPr>
          <w:color w:val="000000"/>
          <w:sz w:val="28"/>
          <w:szCs w:val="28"/>
        </w:rPr>
        <w:t>М</w:t>
      </w:r>
      <w:r w:rsidRPr="00D02ECE">
        <w:rPr>
          <w:color w:val="000000"/>
          <w:sz w:val="28"/>
          <w:szCs w:val="28"/>
        </w:rPr>
        <w:t>етодических рекомендациях к Положению о порядке установления НБУ лимитов открытой валютной позиции</w:t>
      </w:r>
      <w:r w:rsidR="00D02ECE">
        <w:rPr>
          <w:color w:val="000000"/>
          <w:sz w:val="28"/>
          <w:szCs w:val="28"/>
        </w:rPr>
        <w:t>…»</w:t>
      </w:r>
      <w:r w:rsidR="00D02ECE" w:rsidRPr="00D02ECE">
        <w:rPr>
          <w:color w:val="000000"/>
          <w:sz w:val="28"/>
          <w:szCs w:val="28"/>
        </w:rPr>
        <w:t>,</w:t>
      </w:r>
      <w:r w:rsidRPr="00D02ECE">
        <w:rPr>
          <w:color w:val="000000"/>
          <w:sz w:val="28"/>
          <w:szCs w:val="28"/>
        </w:rPr>
        <w:t xml:space="preserve"> введенных НБУ после отмены методики расчета общей открытой валютной позиции банка, расчет реальной общей открытой валютной позиции банка подменен методикой расчета </w:t>
      </w:r>
      <w:r w:rsidR="00D02ECE">
        <w:rPr>
          <w:color w:val="000000"/>
          <w:sz w:val="28"/>
          <w:szCs w:val="28"/>
        </w:rPr>
        <w:t>«</w:t>
      </w:r>
      <w:r w:rsidR="00D02ECE" w:rsidRPr="00D02ECE">
        <w:rPr>
          <w:color w:val="000000"/>
          <w:sz w:val="28"/>
          <w:szCs w:val="28"/>
        </w:rPr>
        <w:t>о</w:t>
      </w:r>
      <w:r w:rsidRPr="00D02ECE">
        <w:rPr>
          <w:color w:val="000000"/>
          <w:sz w:val="28"/>
          <w:szCs w:val="28"/>
        </w:rPr>
        <w:t>бщей</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длинной и </w:t>
      </w:r>
      <w:r w:rsidR="00D02ECE">
        <w:rPr>
          <w:color w:val="000000"/>
          <w:sz w:val="28"/>
          <w:szCs w:val="28"/>
        </w:rPr>
        <w:t>«</w:t>
      </w:r>
      <w:r w:rsidR="00D02ECE" w:rsidRPr="00D02ECE">
        <w:rPr>
          <w:color w:val="000000"/>
          <w:sz w:val="28"/>
          <w:szCs w:val="28"/>
        </w:rPr>
        <w:t>о</w:t>
      </w:r>
      <w:r w:rsidRPr="00D02ECE">
        <w:rPr>
          <w:color w:val="000000"/>
          <w:sz w:val="28"/>
          <w:szCs w:val="28"/>
        </w:rPr>
        <w:t>бщей</w:t>
      </w:r>
      <w:r w:rsidR="00D02ECE">
        <w:rPr>
          <w:color w:val="000000"/>
          <w:sz w:val="28"/>
          <w:szCs w:val="28"/>
        </w:rPr>
        <w:t>»</w:t>
      </w:r>
      <w:r w:rsidR="00D02ECE" w:rsidRPr="00D02ECE">
        <w:rPr>
          <w:color w:val="000000"/>
          <w:sz w:val="28"/>
          <w:szCs w:val="28"/>
        </w:rPr>
        <w:t xml:space="preserve"> </w:t>
      </w:r>
      <w:r w:rsidRPr="00D02ECE">
        <w:rPr>
          <w:color w:val="000000"/>
          <w:sz w:val="28"/>
          <w:szCs w:val="28"/>
        </w:rPr>
        <w:t>короткой открытых валютных позиций, что не одно и то же. Так, согласно Методическим рекомендациям НБУ сегодня банками отдельно определяются итоги всех коротких (строка 2, табл. 2) и итоги всех длинных (строка 3, табл. 2) индивидуальных открытых валютных позиций банка по всем иностранным валютам, а также отдельно итоги всех коротких (строка 4, табл. 2) и всех длинных (строка 5, табл. 2) валютных позиций по всем банковским металлам в гривневом эквиваленте без учета знака (табл. 3), которые при этом тоже называются общими открытыми валютными позициями. Кроме того, согласно названным рекомендациям, банки должны осуществлять еще и расчет общих открытых (длинной и короткой) валютных позиций вместе по всем иностранным валютам и банковским металлам и тоже без учета знака (см. табл. 3), что создает лишь видимость закрытой валютной позиции, хотя на практике пренебрежение знаками длинных и коротких валютных позиций свидетельствует, что определяется общая сумма всех валютных операций, а не общая открытая валютная позиция банка, что не одно и то же.</w:t>
      </w: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 xml:space="preserve">Как видим из данных табл. 3, методикой расчета всех так называемых общих открытых валютных позиций не предусматривается использование знака позиции, что противоречит сущности какой-либо открытой валютной позиции. Из-за того, что методика расчета общих короткой и длинной открытых валютных позиций банка по всем иностранным валютам и банковским металлам не позволяет банку оценить свой реальный валютный риск, она, скорее всего, является методикой расчета только для отчетности банка перед НБУ (которая осуществляется сегодня по состоянию на 1 число каждого месяца в виде среднемесячной величины </w:t>
      </w:r>
      <w:r w:rsidR="00D02ECE">
        <w:rPr>
          <w:color w:val="000000"/>
          <w:sz w:val="28"/>
          <w:szCs w:val="28"/>
        </w:rPr>
        <w:t>–</w:t>
      </w:r>
      <w:r w:rsidR="00D02ECE" w:rsidRPr="00D02ECE">
        <w:rPr>
          <w:color w:val="000000"/>
          <w:sz w:val="28"/>
          <w:szCs w:val="28"/>
        </w:rPr>
        <w:t xml:space="preserve"> </w:t>
      </w:r>
      <w:r w:rsidRPr="00D02ECE">
        <w:rPr>
          <w:color w:val="000000"/>
          <w:sz w:val="28"/>
          <w:szCs w:val="28"/>
        </w:rPr>
        <w:t xml:space="preserve">выраженных в процентах к регулятивному капиталу </w:t>
      </w:r>
      <w:r w:rsidR="00D02ECE">
        <w:rPr>
          <w:color w:val="000000"/>
          <w:sz w:val="28"/>
          <w:szCs w:val="28"/>
        </w:rPr>
        <w:t>–</w:t>
      </w:r>
      <w:r w:rsidR="00D02ECE" w:rsidRPr="00D02ECE">
        <w:rPr>
          <w:color w:val="000000"/>
          <w:sz w:val="28"/>
          <w:szCs w:val="28"/>
        </w:rPr>
        <w:t xml:space="preserve"> </w:t>
      </w:r>
      <w:r w:rsidRPr="00D02ECE">
        <w:rPr>
          <w:color w:val="000000"/>
          <w:sz w:val="28"/>
          <w:szCs w:val="28"/>
        </w:rPr>
        <w:t>соответствующих открытых валютных позиций за отчетный месяц).</w:t>
      </w:r>
    </w:p>
    <w:p w:rsidR="003D4615"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На наш взгляд, НБУ целесообразно внести существенные изменения в методику вычисления реальной общей открытой валютной позиции банка с учетом ее теоретической сущности, то есть целесообразно определять общую открытую валютную позицию банка как алгебраическую сумму всех созданных им индивидуальных открытых валютных позиций по всем иностранным валютам и банковским металлам, что, безусловно, определит знак (направление валютной позиции) или место банка на валютном рынке. Что касается валютного риска, который определяется именно размером и знаком общей открытой валютной позиции банка, то, на наш взгляд, в методику ее расчета следует внести пункт об использовании балансирующей позиции в</w:t>
      </w:r>
      <w:r w:rsidRPr="00D02ECE">
        <w:rPr>
          <w:color w:val="000000"/>
          <w:sz w:val="28"/>
          <w:szCs w:val="28"/>
          <w:lang w:val="uk-UA"/>
        </w:rPr>
        <w:t xml:space="preserve"> гривнях,</w:t>
      </w:r>
      <w:r w:rsidRPr="00D02ECE">
        <w:rPr>
          <w:color w:val="000000"/>
          <w:sz w:val="28"/>
          <w:szCs w:val="28"/>
        </w:rPr>
        <w:t xml:space="preserve"> которая создаст банку к концу рабочего дня закрытую валютную позицию без валютного риска.</w:t>
      </w:r>
    </w:p>
    <w:p w:rsidR="00815F59" w:rsidRDefault="00815F59" w:rsidP="00D02ECE">
      <w:pPr>
        <w:autoSpaceDE w:val="0"/>
        <w:autoSpaceDN w:val="0"/>
        <w:adjustRightInd w:val="0"/>
        <w:spacing w:line="360" w:lineRule="auto"/>
        <w:ind w:firstLine="709"/>
        <w:jc w:val="both"/>
        <w:rPr>
          <w:color w:val="000000"/>
          <w:sz w:val="28"/>
          <w:szCs w:val="28"/>
        </w:rPr>
      </w:pPr>
    </w:p>
    <w:p w:rsidR="003D4615" w:rsidRPr="00D02ECE" w:rsidRDefault="003D4615" w:rsidP="00D02ECE">
      <w:pPr>
        <w:autoSpaceDE w:val="0"/>
        <w:autoSpaceDN w:val="0"/>
        <w:adjustRightInd w:val="0"/>
        <w:spacing w:line="360" w:lineRule="auto"/>
        <w:ind w:firstLine="709"/>
        <w:jc w:val="both"/>
        <w:rPr>
          <w:bCs/>
          <w:color w:val="000000"/>
          <w:sz w:val="28"/>
          <w:szCs w:val="28"/>
        </w:rPr>
      </w:pPr>
      <w:r w:rsidRPr="00D02ECE">
        <w:rPr>
          <w:bCs/>
          <w:iCs/>
          <w:color w:val="000000"/>
          <w:sz w:val="28"/>
          <w:szCs w:val="28"/>
        </w:rPr>
        <w:t>Таблица 3</w:t>
      </w:r>
      <w:r w:rsidR="00815F59">
        <w:rPr>
          <w:bCs/>
          <w:iCs/>
          <w:color w:val="000000"/>
          <w:sz w:val="28"/>
          <w:szCs w:val="28"/>
        </w:rPr>
        <w:t xml:space="preserve">. </w:t>
      </w:r>
      <w:r w:rsidRPr="00D02ECE">
        <w:rPr>
          <w:bCs/>
          <w:color w:val="000000"/>
          <w:sz w:val="28"/>
          <w:szCs w:val="28"/>
        </w:rPr>
        <w:t xml:space="preserve">Методика расчета </w:t>
      </w:r>
      <w:r w:rsidR="00D02ECE">
        <w:rPr>
          <w:bCs/>
          <w:color w:val="000000"/>
          <w:sz w:val="28"/>
          <w:szCs w:val="28"/>
        </w:rPr>
        <w:t>«</w:t>
      </w:r>
      <w:r w:rsidR="00D02ECE" w:rsidRPr="00D02ECE">
        <w:rPr>
          <w:bCs/>
          <w:color w:val="000000"/>
          <w:sz w:val="28"/>
          <w:szCs w:val="28"/>
        </w:rPr>
        <w:t>о</w:t>
      </w:r>
      <w:r w:rsidRPr="00D02ECE">
        <w:rPr>
          <w:bCs/>
          <w:color w:val="000000"/>
          <w:sz w:val="28"/>
          <w:szCs w:val="28"/>
        </w:rPr>
        <w:t>бщей</w:t>
      </w:r>
      <w:r w:rsidR="00D02ECE">
        <w:rPr>
          <w:bCs/>
          <w:color w:val="000000"/>
          <w:sz w:val="28"/>
          <w:szCs w:val="28"/>
        </w:rPr>
        <w:t>»</w:t>
      </w:r>
      <w:r w:rsidR="00D02ECE" w:rsidRPr="00D02ECE">
        <w:rPr>
          <w:bCs/>
          <w:color w:val="000000"/>
          <w:sz w:val="28"/>
          <w:szCs w:val="28"/>
        </w:rPr>
        <w:t xml:space="preserve"> </w:t>
      </w:r>
      <w:r w:rsidRPr="00D02ECE">
        <w:rPr>
          <w:bCs/>
          <w:color w:val="000000"/>
          <w:sz w:val="28"/>
          <w:szCs w:val="28"/>
        </w:rPr>
        <w:t xml:space="preserve">короткой и </w:t>
      </w:r>
      <w:r w:rsidR="00D02ECE">
        <w:rPr>
          <w:bCs/>
          <w:color w:val="000000"/>
          <w:sz w:val="28"/>
          <w:szCs w:val="28"/>
        </w:rPr>
        <w:t>«</w:t>
      </w:r>
      <w:r w:rsidR="00D02ECE" w:rsidRPr="00D02ECE">
        <w:rPr>
          <w:bCs/>
          <w:color w:val="000000"/>
          <w:sz w:val="28"/>
          <w:szCs w:val="28"/>
        </w:rPr>
        <w:t>о</w:t>
      </w:r>
      <w:r w:rsidRPr="00D02ECE">
        <w:rPr>
          <w:bCs/>
          <w:color w:val="000000"/>
          <w:sz w:val="28"/>
          <w:szCs w:val="28"/>
        </w:rPr>
        <w:t>бщей</w:t>
      </w:r>
      <w:r w:rsidR="00D02ECE">
        <w:rPr>
          <w:bCs/>
          <w:color w:val="000000"/>
          <w:sz w:val="28"/>
          <w:szCs w:val="28"/>
        </w:rPr>
        <w:t>»</w:t>
      </w:r>
      <w:r w:rsidR="00D02ECE" w:rsidRPr="00D02ECE">
        <w:rPr>
          <w:bCs/>
          <w:color w:val="000000"/>
          <w:sz w:val="28"/>
          <w:szCs w:val="28"/>
        </w:rPr>
        <w:t xml:space="preserve"> </w:t>
      </w:r>
      <w:r w:rsidRPr="00D02ECE">
        <w:rPr>
          <w:bCs/>
          <w:color w:val="000000"/>
          <w:sz w:val="28"/>
          <w:szCs w:val="28"/>
        </w:rPr>
        <w:t xml:space="preserve">длинной </w:t>
      </w:r>
      <w:r w:rsidR="00D02ECE">
        <w:rPr>
          <w:bCs/>
          <w:color w:val="000000"/>
          <w:sz w:val="28"/>
          <w:szCs w:val="28"/>
        </w:rPr>
        <w:t>«</w:t>
      </w:r>
      <w:r w:rsidR="00D02ECE" w:rsidRPr="00D02ECE">
        <w:rPr>
          <w:bCs/>
          <w:color w:val="000000"/>
          <w:sz w:val="28"/>
          <w:szCs w:val="28"/>
        </w:rPr>
        <w:t>о</w:t>
      </w:r>
      <w:r w:rsidRPr="00D02ECE">
        <w:rPr>
          <w:bCs/>
          <w:color w:val="000000"/>
          <w:sz w:val="28"/>
          <w:szCs w:val="28"/>
        </w:rPr>
        <w:t>ткрытых</w:t>
      </w:r>
      <w:r w:rsidR="00D02ECE">
        <w:rPr>
          <w:bCs/>
          <w:color w:val="000000"/>
          <w:sz w:val="28"/>
          <w:szCs w:val="28"/>
        </w:rPr>
        <w:t>»</w:t>
      </w:r>
      <w:r w:rsidR="00D02ECE" w:rsidRPr="00D02ECE">
        <w:rPr>
          <w:bCs/>
          <w:color w:val="000000"/>
          <w:sz w:val="28"/>
          <w:szCs w:val="28"/>
        </w:rPr>
        <w:t xml:space="preserve"> </w:t>
      </w:r>
      <w:r w:rsidRPr="00D02ECE">
        <w:rPr>
          <w:bCs/>
          <w:color w:val="000000"/>
          <w:sz w:val="28"/>
          <w:szCs w:val="28"/>
        </w:rPr>
        <w:t xml:space="preserve">валютных позиций банка по всем иностранным валютам и банковским металлам, введенная </w:t>
      </w:r>
      <w:r w:rsidR="00815F59">
        <w:rPr>
          <w:bCs/>
          <w:color w:val="000000"/>
          <w:sz w:val="28"/>
          <w:szCs w:val="28"/>
        </w:rPr>
        <w:t>последними постановлениями НБУ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7371"/>
        <w:gridCol w:w="1440"/>
      </w:tblGrid>
      <w:tr w:rsidR="003D4615" w:rsidRPr="00DC3F7D" w:rsidTr="00DC3F7D">
        <w:trPr>
          <w:cantSplit/>
          <w:trHeight w:val="394"/>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 п/п</w:t>
            </w:r>
          </w:p>
        </w:tc>
        <w:tc>
          <w:tcPr>
            <w:tcW w:w="399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Позиция</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грн.</w:t>
            </w:r>
          </w:p>
        </w:tc>
      </w:tr>
      <w:tr w:rsidR="003D4615" w:rsidRPr="00DC3F7D" w:rsidTr="00DC3F7D">
        <w:trPr>
          <w:cantSplit/>
          <w:trHeight w:val="624"/>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w:t>
            </w:r>
          </w:p>
        </w:tc>
        <w:tc>
          <w:tcPr>
            <w:tcW w:w="3999" w:type="pct"/>
            <w:shd w:val="clear" w:color="auto" w:fill="auto"/>
          </w:tcPr>
          <w:p w:rsidR="003D4615" w:rsidRPr="00DC3F7D" w:rsidRDefault="00D02ECE" w:rsidP="00DC3F7D">
            <w:pPr>
              <w:autoSpaceDE w:val="0"/>
              <w:autoSpaceDN w:val="0"/>
              <w:adjustRightInd w:val="0"/>
              <w:spacing w:line="360" w:lineRule="auto"/>
              <w:jc w:val="both"/>
              <w:rPr>
                <w:bCs/>
                <w:color w:val="000000"/>
                <w:sz w:val="20"/>
                <w:szCs w:val="28"/>
              </w:rPr>
            </w:pPr>
            <w:r w:rsidRPr="00DC3F7D">
              <w:rPr>
                <w:bCs/>
                <w:color w:val="000000"/>
                <w:sz w:val="20"/>
                <w:szCs w:val="28"/>
              </w:rPr>
              <w:t xml:space="preserve">«Общая» </w:t>
            </w:r>
            <w:r w:rsidR="003D4615" w:rsidRPr="00DC3F7D">
              <w:rPr>
                <w:bCs/>
                <w:color w:val="000000"/>
                <w:sz w:val="20"/>
                <w:szCs w:val="28"/>
              </w:rPr>
              <w:t xml:space="preserve">короткая </w:t>
            </w:r>
            <w:r w:rsidRPr="00DC3F7D">
              <w:rPr>
                <w:bCs/>
                <w:color w:val="000000"/>
                <w:sz w:val="20"/>
                <w:szCs w:val="28"/>
              </w:rPr>
              <w:t>«о</w:t>
            </w:r>
            <w:r w:rsidR="003D4615" w:rsidRPr="00DC3F7D">
              <w:rPr>
                <w:bCs/>
                <w:color w:val="000000"/>
                <w:sz w:val="20"/>
                <w:szCs w:val="28"/>
              </w:rPr>
              <w:t>ткрытая</w:t>
            </w:r>
            <w:r w:rsidRPr="00DC3F7D">
              <w:rPr>
                <w:bCs/>
                <w:color w:val="000000"/>
                <w:sz w:val="20"/>
                <w:szCs w:val="28"/>
              </w:rPr>
              <w:t xml:space="preserve">» </w:t>
            </w:r>
            <w:r w:rsidR="003D4615" w:rsidRPr="00DC3F7D">
              <w:rPr>
                <w:bCs/>
                <w:color w:val="000000"/>
                <w:sz w:val="20"/>
                <w:szCs w:val="28"/>
              </w:rPr>
              <w:t>валютная позиция банка по всем иностранным валютам (итог всех коротких валютных позиций банка по всем иностранным валютам без учета знака)</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10012500,0</w:t>
            </w:r>
          </w:p>
        </w:tc>
      </w:tr>
      <w:tr w:rsidR="003D4615" w:rsidRPr="00DC3F7D" w:rsidTr="00DC3F7D">
        <w:trPr>
          <w:cantSplit/>
          <w:trHeight w:val="629"/>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2.</w:t>
            </w:r>
          </w:p>
        </w:tc>
        <w:tc>
          <w:tcPr>
            <w:tcW w:w="3999" w:type="pct"/>
            <w:shd w:val="clear" w:color="auto" w:fill="auto"/>
          </w:tcPr>
          <w:p w:rsidR="003D4615" w:rsidRPr="00DC3F7D" w:rsidRDefault="00D02ECE" w:rsidP="00DC3F7D">
            <w:pPr>
              <w:autoSpaceDE w:val="0"/>
              <w:autoSpaceDN w:val="0"/>
              <w:adjustRightInd w:val="0"/>
              <w:spacing w:line="360" w:lineRule="auto"/>
              <w:jc w:val="both"/>
              <w:rPr>
                <w:bCs/>
                <w:color w:val="000000"/>
                <w:sz w:val="20"/>
                <w:szCs w:val="28"/>
              </w:rPr>
            </w:pPr>
            <w:r w:rsidRPr="00DC3F7D">
              <w:rPr>
                <w:bCs/>
                <w:color w:val="000000"/>
                <w:sz w:val="20"/>
                <w:szCs w:val="28"/>
              </w:rPr>
              <w:t xml:space="preserve">«Общая» </w:t>
            </w:r>
            <w:r w:rsidR="003D4615" w:rsidRPr="00DC3F7D">
              <w:rPr>
                <w:bCs/>
                <w:color w:val="000000"/>
                <w:sz w:val="20"/>
                <w:szCs w:val="28"/>
              </w:rPr>
              <w:t xml:space="preserve">длинная </w:t>
            </w:r>
            <w:r w:rsidRPr="00DC3F7D">
              <w:rPr>
                <w:bCs/>
                <w:color w:val="000000"/>
                <w:sz w:val="20"/>
                <w:szCs w:val="28"/>
              </w:rPr>
              <w:t>«о</w:t>
            </w:r>
            <w:r w:rsidR="003D4615" w:rsidRPr="00DC3F7D">
              <w:rPr>
                <w:bCs/>
                <w:color w:val="000000"/>
                <w:sz w:val="20"/>
                <w:szCs w:val="28"/>
              </w:rPr>
              <w:t>ткрытая</w:t>
            </w:r>
            <w:r w:rsidRPr="00DC3F7D">
              <w:rPr>
                <w:bCs/>
                <w:color w:val="000000"/>
                <w:sz w:val="20"/>
                <w:szCs w:val="28"/>
              </w:rPr>
              <w:t xml:space="preserve">» </w:t>
            </w:r>
            <w:r w:rsidR="003D4615" w:rsidRPr="00DC3F7D">
              <w:rPr>
                <w:bCs/>
                <w:color w:val="000000"/>
                <w:sz w:val="20"/>
                <w:szCs w:val="28"/>
              </w:rPr>
              <w:t>валютная позиция банка по всем иностранным валютам (итог всех длинных валютных позиций банка по всем иностранным валютам без учета знака)</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11650000,0</w:t>
            </w:r>
          </w:p>
        </w:tc>
      </w:tr>
      <w:tr w:rsidR="003D4615" w:rsidRPr="00DC3F7D" w:rsidTr="00DC3F7D">
        <w:trPr>
          <w:cantSplit/>
          <w:trHeight w:val="629"/>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3.</w:t>
            </w:r>
          </w:p>
        </w:tc>
        <w:tc>
          <w:tcPr>
            <w:tcW w:w="3999" w:type="pct"/>
            <w:shd w:val="clear" w:color="auto" w:fill="auto"/>
          </w:tcPr>
          <w:p w:rsidR="003D4615" w:rsidRPr="00DC3F7D" w:rsidRDefault="00D02ECE" w:rsidP="00DC3F7D">
            <w:pPr>
              <w:autoSpaceDE w:val="0"/>
              <w:autoSpaceDN w:val="0"/>
              <w:adjustRightInd w:val="0"/>
              <w:spacing w:line="360" w:lineRule="auto"/>
              <w:jc w:val="both"/>
              <w:rPr>
                <w:bCs/>
                <w:color w:val="000000"/>
                <w:sz w:val="20"/>
                <w:szCs w:val="28"/>
              </w:rPr>
            </w:pPr>
            <w:r w:rsidRPr="00DC3F7D">
              <w:rPr>
                <w:bCs/>
                <w:color w:val="000000"/>
                <w:sz w:val="20"/>
                <w:szCs w:val="28"/>
              </w:rPr>
              <w:t xml:space="preserve">«Общая» </w:t>
            </w:r>
            <w:r w:rsidR="003D4615" w:rsidRPr="00DC3F7D">
              <w:rPr>
                <w:bCs/>
                <w:color w:val="000000"/>
                <w:sz w:val="20"/>
                <w:szCs w:val="28"/>
              </w:rPr>
              <w:t xml:space="preserve">короткая </w:t>
            </w:r>
            <w:r w:rsidRPr="00DC3F7D">
              <w:rPr>
                <w:bCs/>
                <w:color w:val="000000"/>
                <w:sz w:val="20"/>
                <w:szCs w:val="28"/>
              </w:rPr>
              <w:t>«о</w:t>
            </w:r>
            <w:r w:rsidR="003D4615" w:rsidRPr="00DC3F7D">
              <w:rPr>
                <w:bCs/>
                <w:color w:val="000000"/>
                <w:sz w:val="20"/>
                <w:szCs w:val="28"/>
              </w:rPr>
              <w:t>ткрытая</w:t>
            </w:r>
            <w:r w:rsidRPr="00DC3F7D">
              <w:rPr>
                <w:bCs/>
                <w:color w:val="000000"/>
                <w:sz w:val="20"/>
                <w:szCs w:val="28"/>
              </w:rPr>
              <w:t xml:space="preserve">» </w:t>
            </w:r>
            <w:r w:rsidR="003D4615" w:rsidRPr="00DC3F7D">
              <w:rPr>
                <w:bCs/>
                <w:color w:val="000000"/>
                <w:sz w:val="20"/>
                <w:szCs w:val="28"/>
              </w:rPr>
              <w:t>валютная позиция банка по всем банковским металлам (итог всех коротких валютных позиций по всем банковским металлам без учета знака)</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4249,6</w:t>
            </w:r>
          </w:p>
        </w:tc>
      </w:tr>
      <w:tr w:rsidR="003D4615" w:rsidRPr="00DC3F7D" w:rsidTr="00DC3F7D">
        <w:trPr>
          <w:cantSplit/>
          <w:trHeight w:val="629"/>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w:t>
            </w:r>
          </w:p>
        </w:tc>
        <w:tc>
          <w:tcPr>
            <w:tcW w:w="3999" w:type="pct"/>
            <w:shd w:val="clear" w:color="auto" w:fill="auto"/>
          </w:tcPr>
          <w:p w:rsidR="003D4615" w:rsidRPr="00DC3F7D" w:rsidRDefault="00D02ECE" w:rsidP="00DC3F7D">
            <w:pPr>
              <w:autoSpaceDE w:val="0"/>
              <w:autoSpaceDN w:val="0"/>
              <w:adjustRightInd w:val="0"/>
              <w:spacing w:line="360" w:lineRule="auto"/>
              <w:jc w:val="both"/>
              <w:rPr>
                <w:bCs/>
                <w:color w:val="000000"/>
                <w:sz w:val="20"/>
                <w:szCs w:val="28"/>
              </w:rPr>
            </w:pPr>
            <w:r w:rsidRPr="00DC3F7D">
              <w:rPr>
                <w:bCs/>
                <w:color w:val="000000"/>
                <w:sz w:val="20"/>
                <w:szCs w:val="28"/>
              </w:rPr>
              <w:t xml:space="preserve">«Общая» </w:t>
            </w:r>
            <w:r w:rsidR="003D4615" w:rsidRPr="00DC3F7D">
              <w:rPr>
                <w:bCs/>
                <w:color w:val="000000"/>
                <w:sz w:val="20"/>
                <w:szCs w:val="28"/>
              </w:rPr>
              <w:t xml:space="preserve">длинная </w:t>
            </w:r>
            <w:r w:rsidRPr="00DC3F7D">
              <w:rPr>
                <w:bCs/>
                <w:color w:val="000000"/>
                <w:sz w:val="20"/>
                <w:szCs w:val="28"/>
              </w:rPr>
              <w:t>«о</w:t>
            </w:r>
            <w:r w:rsidR="003D4615" w:rsidRPr="00DC3F7D">
              <w:rPr>
                <w:bCs/>
                <w:color w:val="000000"/>
                <w:sz w:val="20"/>
                <w:szCs w:val="28"/>
              </w:rPr>
              <w:t>ткрытая</w:t>
            </w:r>
            <w:r w:rsidRPr="00DC3F7D">
              <w:rPr>
                <w:bCs/>
                <w:color w:val="000000"/>
                <w:sz w:val="20"/>
                <w:szCs w:val="28"/>
              </w:rPr>
              <w:t xml:space="preserve">» </w:t>
            </w:r>
            <w:r w:rsidR="003D4615" w:rsidRPr="00DC3F7D">
              <w:rPr>
                <w:bCs/>
                <w:color w:val="000000"/>
                <w:sz w:val="20"/>
                <w:szCs w:val="28"/>
              </w:rPr>
              <w:t>валютная позиция банка по всем банковским металлам (итог всех длинных валютных позиций банка по всем банковским металлам без учета знака)</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4469250,0</w:t>
            </w:r>
          </w:p>
        </w:tc>
      </w:tr>
      <w:tr w:rsidR="003D4615" w:rsidRPr="00DC3F7D" w:rsidTr="00DC3F7D">
        <w:trPr>
          <w:cantSplit/>
          <w:trHeight w:val="1051"/>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5.</w:t>
            </w:r>
          </w:p>
        </w:tc>
        <w:tc>
          <w:tcPr>
            <w:tcW w:w="3999" w:type="pct"/>
            <w:shd w:val="clear" w:color="auto" w:fill="auto"/>
          </w:tcPr>
          <w:p w:rsidR="003D4615" w:rsidRPr="00DC3F7D" w:rsidRDefault="00D02ECE" w:rsidP="00DC3F7D">
            <w:pPr>
              <w:autoSpaceDE w:val="0"/>
              <w:autoSpaceDN w:val="0"/>
              <w:adjustRightInd w:val="0"/>
              <w:spacing w:line="360" w:lineRule="auto"/>
              <w:jc w:val="both"/>
              <w:rPr>
                <w:bCs/>
                <w:color w:val="000000"/>
                <w:sz w:val="20"/>
                <w:szCs w:val="28"/>
              </w:rPr>
            </w:pPr>
            <w:r w:rsidRPr="00DC3F7D">
              <w:rPr>
                <w:bCs/>
                <w:color w:val="000000"/>
                <w:sz w:val="20"/>
                <w:szCs w:val="28"/>
              </w:rPr>
              <w:t xml:space="preserve">«Общая» </w:t>
            </w:r>
            <w:r w:rsidR="003D4615" w:rsidRPr="00DC3F7D">
              <w:rPr>
                <w:bCs/>
                <w:color w:val="000000"/>
                <w:sz w:val="20"/>
                <w:szCs w:val="28"/>
              </w:rPr>
              <w:t xml:space="preserve">короткая </w:t>
            </w:r>
            <w:r w:rsidRPr="00DC3F7D">
              <w:rPr>
                <w:bCs/>
                <w:color w:val="000000"/>
                <w:sz w:val="20"/>
                <w:szCs w:val="28"/>
              </w:rPr>
              <w:t>«о</w:t>
            </w:r>
            <w:r w:rsidR="003D4615" w:rsidRPr="00DC3F7D">
              <w:rPr>
                <w:bCs/>
                <w:color w:val="000000"/>
                <w:sz w:val="20"/>
                <w:szCs w:val="28"/>
              </w:rPr>
              <w:t>ткрытая</w:t>
            </w:r>
            <w:r w:rsidRPr="00DC3F7D">
              <w:rPr>
                <w:bCs/>
                <w:color w:val="000000"/>
                <w:sz w:val="20"/>
                <w:szCs w:val="28"/>
              </w:rPr>
              <w:t xml:space="preserve">» </w:t>
            </w:r>
            <w:r w:rsidR="003D4615" w:rsidRPr="00DC3F7D">
              <w:rPr>
                <w:bCs/>
                <w:color w:val="000000"/>
                <w:sz w:val="20"/>
                <w:szCs w:val="28"/>
              </w:rPr>
              <w:t>валютная позиция по всем иностранным валютам и банковским металлам как итог всех коротких открытых валютных позиций банка по всем иностранным валютам и банковским металлам без учета знака (строка 1 + строка 3)</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10016749,6</w:t>
            </w:r>
          </w:p>
        </w:tc>
      </w:tr>
      <w:tr w:rsidR="003D4615" w:rsidRPr="00DC3F7D" w:rsidTr="00DC3F7D">
        <w:trPr>
          <w:cantSplit/>
          <w:trHeight w:val="1046"/>
          <w:jc w:val="center"/>
        </w:trPr>
        <w:tc>
          <w:tcPr>
            <w:tcW w:w="192"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6.</w:t>
            </w:r>
          </w:p>
        </w:tc>
        <w:tc>
          <w:tcPr>
            <w:tcW w:w="3999" w:type="pct"/>
            <w:shd w:val="clear" w:color="auto" w:fill="auto"/>
          </w:tcPr>
          <w:p w:rsidR="003D4615" w:rsidRPr="00DC3F7D" w:rsidRDefault="00D02ECE" w:rsidP="00DC3F7D">
            <w:pPr>
              <w:autoSpaceDE w:val="0"/>
              <w:autoSpaceDN w:val="0"/>
              <w:adjustRightInd w:val="0"/>
              <w:spacing w:line="360" w:lineRule="auto"/>
              <w:jc w:val="both"/>
              <w:rPr>
                <w:bCs/>
                <w:color w:val="000000"/>
                <w:sz w:val="20"/>
                <w:szCs w:val="28"/>
              </w:rPr>
            </w:pPr>
            <w:r w:rsidRPr="00DC3F7D">
              <w:rPr>
                <w:bCs/>
                <w:color w:val="000000"/>
                <w:sz w:val="20"/>
                <w:szCs w:val="28"/>
              </w:rPr>
              <w:t xml:space="preserve">«Общая» </w:t>
            </w:r>
            <w:r w:rsidR="003D4615" w:rsidRPr="00DC3F7D">
              <w:rPr>
                <w:bCs/>
                <w:color w:val="000000"/>
                <w:sz w:val="20"/>
                <w:szCs w:val="28"/>
              </w:rPr>
              <w:t xml:space="preserve">длинная </w:t>
            </w:r>
            <w:r w:rsidRPr="00DC3F7D">
              <w:rPr>
                <w:bCs/>
                <w:color w:val="000000"/>
                <w:sz w:val="20"/>
                <w:szCs w:val="28"/>
              </w:rPr>
              <w:t>«о</w:t>
            </w:r>
            <w:r w:rsidR="003D4615" w:rsidRPr="00DC3F7D">
              <w:rPr>
                <w:bCs/>
                <w:color w:val="000000"/>
                <w:sz w:val="20"/>
                <w:szCs w:val="28"/>
              </w:rPr>
              <w:t>ткрытая</w:t>
            </w:r>
            <w:r w:rsidRPr="00DC3F7D">
              <w:rPr>
                <w:bCs/>
                <w:color w:val="000000"/>
                <w:sz w:val="20"/>
                <w:szCs w:val="28"/>
              </w:rPr>
              <w:t xml:space="preserve">» </w:t>
            </w:r>
            <w:r w:rsidR="003D4615" w:rsidRPr="00DC3F7D">
              <w:rPr>
                <w:bCs/>
                <w:color w:val="000000"/>
                <w:sz w:val="20"/>
                <w:szCs w:val="28"/>
              </w:rPr>
              <w:t>валютная позиция по всем иностранным валютам и банковским металлам как итог всех длинных открытых валютных позиций банка по всем иностранным валютам и банковским металлам без учета знака (строка 2 + строка 4)</w:t>
            </w:r>
          </w:p>
        </w:tc>
        <w:tc>
          <w:tcPr>
            <w:tcW w:w="809" w:type="pct"/>
            <w:shd w:val="clear" w:color="auto" w:fill="auto"/>
          </w:tcPr>
          <w:p w:rsidR="003D4615" w:rsidRPr="00DC3F7D" w:rsidRDefault="003D4615" w:rsidP="00DC3F7D">
            <w:pPr>
              <w:autoSpaceDE w:val="0"/>
              <w:autoSpaceDN w:val="0"/>
              <w:adjustRightInd w:val="0"/>
              <w:spacing w:line="360" w:lineRule="auto"/>
              <w:jc w:val="both"/>
              <w:rPr>
                <w:bCs/>
                <w:color w:val="000000"/>
                <w:sz w:val="20"/>
                <w:szCs w:val="28"/>
              </w:rPr>
            </w:pPr>
            <w:r w:rsidRPr="00DC3F7D">
              <w:rPr>
                <w:bCs/>
                <w:color w:val="000000"/>
                <w:sz w:val="20"/>
                <w:szCs w:val="28"/>
              </w:rPr>
              <w:t>16119250,0</w:t>
            </w:r>
          </w:p>
        </w:tc>
      </w:tr>
    </w:tbl>
    <w:p w:rsidR="003D4615" w:rsidRPr="00D02ECE" w:rsidRDefault="00815F59" w:rsidP="00D02ECE">
      <w:pPr>
        <w:autoSpaceDE w:val="0"/>
        <w:autoSpaceDN w:val="0"/>
        <w:adjustRightInd w:val="0"/>
        <w:spacing w:line="360" w:lineRule="auto"/>
        <w:ind w:firstLine="709"/>
        <w:jc w:val="both"/>
        <w:rPr>
          <w:b/>
          <w:color w:val="000000"/>
          <w:sz w:val="28"/>
          <w:szCs w:val="28"/>
        </w:rPr>
      </w:pPr>
      <w:r>
        <w:rPr>
          <w:b/>
          <w:color w:val="000000"/>
          <w:sz w:val="28"/>
          <w:szCs w:val="28"/>
        </w:rPr>
        <w:br w:type="page"/>
      </w:r>
      <w:r w:rsidRPr="00D02ECE">
        <w:rPr>
          <w:b/>
          <w:color w:val="000000"/>
          <w:sz w:val="28"/>
          <w:szCs w:val="28"/>
        </w:rPr>
        <w:t>Вывод</w:t>
      </w:r>
    </w:p>
    <w:p w:rsidR="003D4615" w:rsidRPr="00D02ECE" w:rsidRDefault="003D4615" w:rsidP="00D02ECE">
      <w:pPr>
        <w:autoSpaceDE w:val="0"/>
        <w:autoSpaceDN w:val="0"/>
        <w:adjustRightInd w:val="0"/>
        <w:spacing w:line="360" w:lineRule="auto"/>
        <w:ind w:firstLine="709"/>
        <w:jc w:val="both"/>
        <w:rPr>
          <w:color w:val="000000"/>
          <w:sz w:val="28"/>
          <w:szCs w:val="28"/>
        </w:rPr>
      </w:pPr>
    </w:p>
    <w:p w:rsidR="003D4615" w:rsidRPr="00D02ECE" w:rsidRDefault="003D4615" w:rsidP="00D02ECE">
      <w:pPr>
        <w:autoSpaceDE w:val="0"/>
        <w:autoSpaceDN w:val="0"/>
        <w:adjustRightInd w:val="0"/>
        <w:spacing w:line="360" w:lineRule="auto"/>
        <w:ind w:firstLine="709"/>
        <w:jc w:val="both"/>
        <w:rPr>
          <w:color w:val="000000"/>
          <w:sz w:val="28"/>
          <w:szCs w:val="28"/>
        </w:rPr>
      </w:pPr>
      <w:r w:rsidRPr="00D02ECE">
        <w:rPr>
          <w:color w:val="000000"/>
          <w:sz w:val="28"/>
          <w:szCs w:val="28"/>
        </w:rPr>
        <w:t>Изложенное позволяет сделать вывод о том, что сегодня НБУ не имеет четкого видения сущности и, соответственно, методики определения общей открытой валютной позиции уполномоченных банков, а также способа надзора за соблюдением ими своей общей открытой валютной позиции. Именно поэтому в 2009</w:t>
      </w:r>
      <w:r w:rsidR="00D02ECE">
        <w:rPr>
          <w:color w:val="000000"/>
          <w:sz w:val="28"/>
          <w:szCs w:val="28"/>
        </w:rPr>
        <w:t> </w:t>
      </w:r>
      <w:r w:rsidR="00D02ECE" w:rsidRPr="00D02ECE">
        <w:rPr>
          <w:color w:val="000000"/>
          <w:sz w:val="28"/>
          <w:szCs w:val="28"/>
        </w:rPr>
        <w:t>г</w:t>
      </w:r>
      <w:r w:rsidRPr="00D02ECE">
        <w:rPr>
          <w:color w:val="000000"/>
          <w:sz w:val="28"/>
          <w:szCs w:val="28"/>
        </w:rPr>
        <w:t>. НБУ отменил не только определение сущности и размера общей открытой позиции банка по всем иностранным валютам и банковским металлам, но и лимит этой позиции (Л 13). При таких условиях он</w:t>
      </w:r>
      <w:r w:rsidRPr="00D02ECE">
        <w:rPr>
          <w:color w:val="000000"/>
          <w:sz w:val="28"/>
          <w:szCs w:val="28"/>
          <w:lang w:val="uk-UA"/>
        </w:rPr>
        <w:t xml:space="preserve"> лиш</w:t>
      </w:r>
      <w:r w:rsidRPr="00D02ECE">
        <w:rPr>
          <w:color w:val="000000"/>
          <w:sz w:val="28"/>
          <w:szCs w:val="28"/>
        </w:rPr>
        <w:t>ил себя возможности контролировать и регулировать всю валютную деятельность банков (вместе с их валютными рисками и способами управления ими), а также валютный рынок страны, что в условиях экономического кризиса может привести к очень серьезным негативным последствиям.</w:t>
      </w:r>
    </w:p>
    <w:p w:rsidR="003D4615" w:rsidRPr="00CB4B69" w:rsidRDefault="003D4615" w:rsidP="00CB4B69">
      <w:pPr>
        <w:autoSpaceDE w:val="0"/>
        <w:autoSpaceDN w:val="0"/>
        <w:adjustRightInd w:val="0"/>
        <w:spacing w:line="360" w:lineRule="auto"/>
        <w:ind w:firstLine="709"/>
        <w:jc w:val="both"/>
        <w:rPr>
          <w:color w:val="000000"/>
          <w:sz w:val="28"/>
          <w:szCs w:val="28"/>
        </w:rPr>
      </w:pPr>
    </w:p>
    <w:p w:rsidR="00CB4B69" w:rsidRPr="00CB4B69" w:rsidRDefault="00CB4B69" w:rsidP="00CB4B69">
      <w:pPr>
        <w:autoSpaceDE w:val="0"/>
        <w:autoSpaceDN w:val="0"/>
        <w:adjustRightInd w:val="0"/>
        <w:spacing w:line="360" w:lineRule="auto"/>
        <w:ind w:firstLine="709"/>
        <w:jc w:val="both"/>
        <w:rPr>
          <w:color w:val="000000"/>
          <w:sz w:val="28"/>
          <w:szCs w:val="28"/>
        </w:rPr>
      </w:pPr>
    </w:p>
    <w:p w:rsidR="003D4615" w:rsidRPr="00CB4B69" w:rsidRDefault="00CB4B69" w:rsidP="00CB4B69">
      <w:pPr>
        <w:autoSpaceDE w:val="0"/>
        <w:autoSpaceDN w:val="0"/>
        <w:adjustRightInd w:val="0"/>
        <w:spacing w:line="360" w:lineRule="auto"/>
        <w:ind w:firstLine="709"/>
        <w:jc w:val="both"/>
        <w:rPr>
          <w:b/>
          <w:color w:val="000000"/>
          <w:sz w:val="28"/>
          <w:szCs w:val="28"/>
        </w:rPr>
      </w:pPr>
      <w:r>
        <w:rPr>
          <w:color w:val="000000"/>
          <w:sz w:val="28"/>
          <w:szCs w:val="28"/>
        </w:rPr>
        <w:br w:type="page"/>
      </w:r>
      <w:r w:rsidRPr="00CB4B69">
        <w:rPr>
          <w:b/>
          <w:color w:val="000000"/>
          <w:sz w:val="28"/>
          <w:szCs w:val="28"/>
        </w:rPr>
        <w:t>Список литературы</w:t>
      </w:r>
    </w:p>
    <w:p w:rsidR="003D4615" w:rsidRPr="00CB4B69" w:rsidRDefault="003D4615" w:rsidP="00D02ECE">
      <w:pPr>
        <w:autoSpaceDE w:val="0"/>
        <w:autoSpaceDN w:val="0"/>
        <w:adjustRightInd w:val="0"/>
        <w:spacing w:line="360" w:lineRule="auto"/>
        <w:ind w:firstLine="709"/>
        <w:jc w:val="both"/>
        <w:rPr>
          <w:color w:val="000000"/>
          <w:sz w:val="28"/>
          <w:szCs w:val="28"/>
        </w:rPr>
      </w:pP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rPr>
      </w:pPr>
      <w:r w:rsidRPr="00D02ECE">
        <w:rPr>
          <w:bCs/>
          <w:color w:val="000000"/>
          <w:sz w:val="28"/>
          <w:szCs w:val="28"/>
        </w:rPr>
        <w:t>Закон</w:t>
      </w:r>
      <w:r w:rsidRPr="00D02ECE">
        <w:rPr>
          <w:bCs/>
          <w:color w:val="000000"/>
          <w:sz w:val="28"/>
          <w:szCs w:val="28"/>
          <w:lang w:val="uk-UA"/>
        </w:rPr>
        <w:t xml:space="preserve"> Україні</w:t>
      </w:r>
      <w:r w:rsidRPr="00D02ECE">
        <w:rPr>
          <w:bCs/>
          <w:color w:val="000000"/>
          <w:sz w:val="28"/>
          <w:szCs w:val="28"/>
        </w:rPr>
        <w:t xml:space="preserve"> </w:t>
      </w:r>
      <w:r w:rsidR="00D02ECE">
        <w:rPr>
          <w:bCs/>
          <w:color w:val="000000"/>
          <w:sz w:val="28"/>
          <w:szCs w:val="28"/>
        </w:rPr>
        <w:t>«</w:t>
      </w:r>
      <w:r w:rsidR="00D02ECE" w:rsidRPr="00D02ECE">
        <w:rPr>
          <w:bCs/>
          <w:color w:val="000000"/>
          <w:sz w:val="28"/>
          <w:szCs w:val="28"/>
        </w:rPr>
        <w:t>П</w:t>
      </w:r>
      <w:r w:rsidRPr="00D02ECE">
        <w:rPr>
          <w:bCs/>
          <w:color w:val="000000"/>
          <w:sz w:val="28"/>
          <w:szCs w:val="28"/>
        </w:rPr>
        <w:t>ро НБУ</w:t>
      </w:r>
      <w:r w:rsidR="00D02ECE">
        <w:rPr>
          <w:bCs/>
          <w:color w:val="000000"/>
          <w:sz w:val="28"/>
          <w:szCs w:val="28"/>
        </w:rPr>
        <w:t>»</w:t>
      </w:r>
      <w:r w:rsidR="00D02ECE" w:rsidRPr="00D02ECE">
        <w:rPr>
          <w:bCs/>
          <w:color w:val="000000"/>
          <w:sz w:val="28"/>
          <w:szCs w:val="28"/>
        </w:rPr>
        <w:t xml:space="preserve"> </w:t>
      </w:r>
      <w:r w:rsidRPr="00D02ECE">
        <w:rPr>
          <w:bCs/>
          <w:color w:val="000000"/>
          <w:sz w:val="28"/>
          <w:szCs w:val="28"/>
        </w:rPr>
        <w:t>от 20.05.1999</w:t>
      </w:r>
      <w:r w:rsidR="00D02ECE">
        <w:rPr>
          <w:bCs/>
          <w:color w:val="000000"/>
          <w:sz w:val="28"/>
          <w:szCs w:val="28"/>
        </w:rPr>
        <w:t> </w:t>
      </w:r>
      <w:r w:rsidR="00D02ECE" w:rsidRPr="00D02ECE">
        <w:rPr>
          <w:bCs/>
          <w:color w:val="000000"/>
          <w:sz w:val="28"/>
          <w:szCs w:val="28"/>
        </w:rPr>
        <w:t>г</w:t>
      </w:r>
      <w:r w:rsidRPr="00D02ECE">
        <w:rPr>
          <w:bCs/>
          <w:color w:val="000000"/>
          <w:sz w:val="28"/>
          <w:szCs w:val="28"/>
        </w:rPr>
        <w:t>., в ред. 2007</w:t>
      </w:r>
      <w:r w:rsidR="00D02ECE">
        <w:rPr>
          <w:bCs/>
          <w:color w:val="000000"/>
          <w:sz w:val="28"/>
          <w:szCs w:val="28"/>
        </w:rPr>
        <w:t> </w:t>
      </w:r>
      <w:r w:rsidR="00D02ECE" w:rsidRPr="00D02ECE">
        <w:rPr>
          <w:bCs/>
          <w:color w:val="000000"/>
          <w:sz w:val="28"/>
          <w:szCs w:val="28"/>
        </w:rPr>
        <w:t>р</w:t>
      </w:r>
      <w:r w:rsidRPr="00D02ECE">
        <w:rPr>
          <w:bCs/>
          <w:color w:val="000000"/>
          <w:sz w:val="28"/>
          <w:szCs w:val="28"/>
        </w:rPr>
        <w:t>., ст.</w:t>
      </w:r>
      <w:r w:rsidR="00D02ECE">
        <w:rPr>
          <w:bCs/>
          <w:color w:val="000000"/>
          <w:sz w:val="28"/>
          <w:szCs w:val="28"/>
        </w:rPr>
        <w:t> </w:t>
      </w:r>
      <w:r w:rsidR="00D02ECE" w:rsidRPr="00D02ECE">
        <w:rPr>
          <w:bCs/>
          <w:color w:val="000000"/>
          <w:sz w:val="28"/>
          <w:szCs w:val="28"/>
        </w:rPr>
        <w:t>1</w:t>
      </w:r>
      <w:r w:rsidRPr="00D02ECE">
        <w:rPr>
          <w:bCs/>
          <w:color w:val="000000"/>
          <w:sz w:val="28"/>
          <w:szCs w:val="28"/>
        </w:rPr>
        <w:t>.</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rPr>
      </w:pPr>
      <w:r w:rsidRPr="00D02ECE">
        <w:rPr>
          <w:bCs/>
          <w:color w:val="000000"/>
          <w:sz w:val="28"/>
          <w:szCs w:val="28"/>
          <w:lang w:val="uk-UA"/>
        </w:rPr>
        <w:t>Інструкція</w:t>
      </w:r>
      <w:r w:rsidRPr="00D02ECE">
        <w:rPr>
          <w:bCs/>
          <w:color w:val="000000"/>
          <w:sz w:val="28"/>
          <w:szCs w:val="28"/>
        </w:rPr>
        <w:t xml:space="preserve"> </w:t>
      </w:r>
      <w:r w:rsidR="00D02ECE">
        <w:rPr>
          <w:bCs/>
          <w:color w:val="000000"/>
          <w:sz w:val="28"/>
          <w:szCs w:val="28"/>
        </w:rPr>
        <w:t>«</w:t>
      </w:r>
      <w:r w:rsidR="00D02ECE" w:rsidRPr="00D02ECE">
        <w:rPr>
          <w:bCs/>
          <w:color w:val="000000"/>
          <w:sz w:val="28"/>
          <w:szCs w:val="28"/>
        </w:rPr>
        <w:t>П</w:t>
      </w:r>
      <w:r w:rsidRPr="00D02ECE">
        <w:rPr>
          <w:bCs/>
          <w:color w:val="000000"/>
          <w:sz w:val="28"/>
          <w:szCs w:val="28"/>
        </w:rPr>
        <w:t>ро порядок</w:t>
      </w:r>
      <w:r w:rsidRPr="00D02ECE">
        <w:rPr>
          <w:bCs/>
          <w:color w:val="000000"/>
          <w:sz w:val="28"/>
          <w:szCs w:val="28"/>
          <w:lang w:val="uk-UA"/>
        </w:rPr>
        <w:t xml:space="preserve"> регулювання</w:t>
      </w:r>
      <w:r w:rsidRPr="00D02ECE">
        <w:rPr>
          <w:bCs/>
          <w:color w:val="000000"/>
          <w:sz w:val="28"/>
          <w:szCs w:val="28"/>
        </w:rPr>
        <w:t xml:space="preserve"> та</w:t>
      </w:r>
      <w:r w:rsidRPr="00D02ECE">
        <w:rPr>
          <w:bCs/>
          <w:color w:val="000000"/>
          <w:sz w:val="28"/>
          <w:szCs w:val="28"/>
          <w:lang w:val="uk-UA"/>
        </w:rPr>
        <w:t xml:space="preserve"> аналіз діяльності комерційних банків</w:t>
      </w:r>
      <w:r w:rsidR="00D02ECE">
        <w:rPr>
          <w:bCs/>
          <w:color w:val="000000"/>
          <w:sz w:val="28"/>
          <w:szCs w:val="28"/>
          <w:lang w:val="uk-UA"/>
        </w:rPr>
        <w:t>»</w:t>
      </w:r>
      <w:r w:rsidR="00D02ECE" w:rsidRPr="00D02ECE">
        <w:rPr>
          <w:bCs/>
          <w:color w:val="000000"/>
          <w:sz w:val="28"/>
          <w:szCs w:val="28"/>
          <w:lang w:val="uk-UA"/>
        </w:rPr>
        <w:t>,</w:t>
      </w:r>
      <w:r w:rsidRPr="00D02ECE">
        <w:rPr>
          <w:bCs/>
          <w:color w:val="000000"/>
          <w:sz w:val="28"/>
          <w:szCs w:val="28"/>
          <w:lang w:val="uk-UA"/>
        </w:rPr>
        <w:t xml:space="preserve"> затверджена постановою Правління НБУ</w:t>
      </w:r>
      <w:r w:rsidRPr="00D02ECE">
        <w:rPr>
          <w:bCs/>
          <w:color w:val="000000"/>
          <w:sz w:val="28"/>
          <w:szCs w:val="28"/>
        </w:rPr>
        <w:t xml:space="preserve"> </w:t>
      </w:r>
      <w:r w:rsidR="00D02ECE">
        <w:rPr>
          <w:bCs/>
          <w:color w:val="000000"/>
          <w:sz w:val="28"/>
          <w:szCs w:val="28"/>
        </w:rPr>
        <w:t>№</w:t>
      </w:r>
      <w:r w:rsidR="00D02ECE" w:rsidRPr="00D02ECE">
        <w:rPr>
          <w:bCs/>
          <w:color w:val="000000"/>
          <w:sz w:val="28"/>
          <w:szCs w:val="28"/>
        </w:rPr>
        <w:t>1</w:t>
      </w:r>
      <w:r w:rsidRPr="00D02ECE">
        <w:rPr>
          <w:bCs/>
          <w:color w:val="000000"/>
          <w:sz w:val="28"/>
          <w:szCs w:val="28"/>
        </w:rPr>
        <w:t>41</w:t>
      </w:r>
      <w:r w:rsidRPr="00D02ECE">
        <w:rPr>
          <w:bCs/>
          <w:color w:val="000000"/>
          <w:sz w:val="28"/>
          <w:szCs w:val="28"/>
          <w:lang w:val="uk-UA"/>
        </w:rPr>
        <w:t xml:space="preserve"> від</w:t>
      </w:r>
      <w:r w:rsidRPr="00D02ECE">
        <w:rPr>
          <w:bCs/>
          <w:color w:val="000000"/>
          <w:sz w:val="28"/>
          <w:szCs w:val="28"/>
        </w:rPr>
        <w:t xml:space="preserve"> 14.04.1998</w:t>
      </w:r>
      <w:r w:rsidR="00D02ECE">
        <w:rPr>
          <w:bCs/>
          <w:color w:val="000000"/>
          <w:sz w:val="28"/>
          <w:szCs w:val="28"/>
          <w:lang w:val="uk-UA"/>
        </w:rPr>
        <w:t> </w:t>
      </w:r>
      <w:r w:rsidR="00D02ECE" w:rsidRPr="00D02ECE">
        <w:rPr>
          <w:bCs/>
          <w:color w:val="000000"/>
          <w:sz w:val="28"/>
          <w:szCs w:val="28"/>
          <w:lang w:val="uk-UA"/>
        </w:rPr>
        <w:t>р</w:t>
      </w:r>
      <w:r w:rsidRPr="00D02ECE">
        <w:rPr>
          <w:bCs/>
          <w:color w:val="000000"/>
          <w:sz w:val="28"/>
          <w:szCs w:val="28"/>
          <w:lang w:val="uk-UA"/>
        </w:rPr>
        <w:t>. (нині скасована), ст.</w:t>
      </w:r>
      <w:r w:rsidR="00D02ECE">
        <w:rPr>
          <w:bCs/>
          <w:color w:val="000000"/>
          <w:sz w:val="28"/>
          <w:szCs w:val="28"/>
        </w:rPr>
        <w:t> </w:t>
      </w:r>
      <w:r w:rsidR="00D02ECE" w:rsidRPr="00D02ECE">
        <w:rPr>
          <w:bCs/>
          <w:color w:val="000000"/>
          <w:sz w:val="28"/>
          <w:szCs w:val="28"/>
        </w:rPr>
        <w:t>2</w:t>
      </w:r>
      <w:r w:rsidRPr="00D02ECE">
        <w:rPr>
          <w:bCs/>
          <w:color w:val="000000"/>
          <w:sz w:val="28"/>
          <w:szCs w:val="28"/>
        </w:rPr>
        <w:t>.</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rPr>
      </w:pPr>
      <w:r w:rsidRPr="00D02ECE">
        <w:rPr>
          <w:bCs/>
          <w:color w:val="000000"/>
          <w:sz w:val="28"/>
          <w:szCs w:val="28"/>
          <w:lang w:val="uk-UA"/>
        </w:rPr>
        <w:t>Інструкція</w:t>
      </w:r>
      <w:r w:rsidRPr="00D02ECE">
        <w:rPr>
          <w:bCs/>
          <w:color w:val="000000"/>
          <w:sz w:val="28"/>
          <w:szCs w:val="28"/>
        </w:rPr>
        <w:t xml:space="preserve"> </w:t>
      </w:r>
      <w:r w:rsidR="00D02ECE">
        <w:rPr>
          <w:bCs/>
          <w:color w:val="000000"/>
          <w:sz w:val="28"/>
          <w:szCs w:val="28"/>
        </w:rPr>
        <w:t>№</w:t>
      </w:r>
      <w:r w:rsidR="00D02ECE" w:rsidRPr="00D02ECE">
        <w:rPr>
          <w:bCs/>
          <w:color w:val="000000"/>
          <w:sz w:val="28"/>
          <w:szCs w:val="28"/>
        </w:rPr>
        <w:t>1</w:t>
      </w:r>
      <w:r w:rsidRPr="00D02ECE">
        <w:rPr>
          <w:bCs/>
          <w:color w:val="000000"/>
          <w:sz w:val="28"/>
          <w:szCs w:val="28"/>
        </w:rPr>
        <w:t xml:space="preserve">0 </w:t>
      </w:r>
      <w:r w:rsidR="00D02ECE">
        <w:rPr>
          <w:bCs/>
          <w:color w:val="000000"/>
          <w:sz w:val="28"/>
          <w:szCs w:val="28"/>
        </w:rPr>
        <w:t>«</w:t>
      </w:r>
      <w:r w:rsidR="00D02ECE" w:rsidRPr="00D02ECE">
        <w:rPr>
          <w:bCs/>
          <w:color w:val="000000"/>
          <w:sz w:val="28"/>
          <w:szCs w:val="28"/>
        </w:rPr>
        <w:t>П</w:t>
      </w:r>
      <w:r w:rsidRPr="00D02ECE">
        <w:rPr>
          <w:bCs/>
          <w:color w:val="000000"/>
          <w:sz w:val="28"/>
          <w:szCs w:val="28"/>
        </w:rPr>
        <w:t>ро порядок</w:t>
      </w:r>
      <w:r w:rsidRPr="00D02ECE">
        <w:rPr>
          <w:bCs/>
          <w:color w:val="000000"/>
          <w:sz w:val="28"/>
          <w:szCs w:val="28"/>
          <w:lang w:val="uk-UA"/>
        </w:rPr>
        <w:t xml:space="preserve"> регулювання</w:t>
      </w:r>
      <w:r w:rsidRPr="00D02ECE">
        <w:rPr>
          <w:bCs/>
          <w:color w:val="000000"/>
          <w:sz w:val="28"/>
          <w:szCs w:val="28"/>
        </w:rPr>
        <w:t xml:space="preserve"> та</w:t>
      </w:r>
      <w:r w:rsidRPr="00D02ECE">
        <w:rPr>
          <w:bCs/>
          <w:color w:val="000000"/>
          <w:sz w:val="28"/>
          <w:szCs w:val="28"/>
          <w:lang w:val="uk-UA"/>
        </w:rPr>
        <w:t xml:space="preserve"> аналіз діяльності комерційних банків</w:t>
      </w:r>
      <w:r w:rsidR="00D02ECE">
        <w:rPr>
          <w:bCs/>
          <w:color w:val="000000"/>
          <w:sz w:val="28"/>
          <w:szCs w:val="28"/>
          <w:lang w:val="uk-UA"/>
        </w:rPr>
        <w:t>»</w:t>
      </w:r>
      <w:r w:rsidR="00D02ECE" w:rsidRPr="00D02ECE">
        <w:rPr>
          <w:bCs/>
          <w:color w:val="000000"/>
          <w:sz w:val="28"/>
          <w:szCs w:val="28"/>
          <w:lang w:val="uk-UA"/>
        </w:rPr>
        <w:t>,</w:t>
      </w:r>
      <w:r w:rsidRPr="00D02ECE">
        <w:rPr>
          <w:bCs/>
          <w:color w:val="000000"/>
          <w:sz w:val="28"/>
          <w:szCs w:val="28"/>
          <w:lang w:val="uk-UA"/>
        </w:rPr>
        <w:t xml:space="preserve"> затверджена постановою Правління НБУ</w:t>
      </w:r>
      <w:r w:rsidRPr="00D02ECE">
        <w:rPr>
          <w:bCs/>
          <w:color w:val="000000"/>
          <w:sz w:val="28"/>
          <w:szCs w:val="28"/>
        </w:rPr>
        <w:t xml:space="preserve"> </w:t>
      </w:r>
      <w:r w:rsidR="00D02ECE">
        <w:rPr>
          <w:bCs/>
          <w:color w:val="000000"/>
          <w:sz w:val="28"/>
          <w:szCs w:val="28"/>
        </w:rPr>
        <w:t>№</w:t>
      </w:r>
      <w:r w:rsidR="00D02ECE" w:rsidRPr="00D02ECE">
        <w:rPr>
          <w:bCs/>
          <w:color w:val="000000"/>
          <w:sz w:val="28"/>
          <w:szCs w:val="28"/>
        </w:rPr>
        <w:t>3</w:t>
      </w:r>
      <w:r w:rsidRPr="00D02ECE">
        <w:rPr>
          <w:bCs/>
          <w:color w:val="000000"/>
          <w:sz w:val="28"/>
          <w:szCs w:val="28"/>
        </w:rPr>
        <w:t>43</w:t>
      </w:r>
      <w:r w:rsidRPr="00D02ECE">
        <w:rPr>
          <w:bCs/>
          <w:color w:val="000000"/>
          <w:sz w:val="28"/>
          <w:szCs w:val="28"/>
          <w:lang w:val="uk-UA"/>
        </w:rPr>
        <w:t xml:space="preserve"> від</w:t>
      </w:r>
      <w:r w:rsidRPr="00D02ECE">
        <w:rPr>
          <w:bCs/>
          <w:color w:val="000000"/>
          <w:sz w:val="28"/>
          <w:szCs w:val="28"/>
        </w:rPr>
        <w:t xml:space="preserve"> 30.12.1996</w:t>
      </w:r>
      <w:r w:rsidR="00D02ECE">
        <w:rPr>
          <w:bCs/>
          <w:color w:val="000000"/>
          <w:sz w:val="28"/>
          <w:szCs w:val="28"/>
          <w:lang w:val="uk-UA"/>
        </w:rPr>
        <w:t> </w:t>
      </w:r>
      <w:r w:rsidR="00D02ECE" w:rsidRPr="00D02ECE">
        <w:rPr>
          <w:bCs/>
          <w:color w:val="000000"/>
          <w:sz w:val="28"/>
          <w:szCs w:val="28"/>
          <w:lang w:val="uk-UA"/>
        </w:rPr>
        <w:t>р</w:t>
      </w:r>
      <w:r w:rsidRPr="00D02ECE">
        <w:rPr>
          <w:bCs/>
          <w:color w:val="000000"/>
          <w:sz w:val="28"/>
          <w:szCs w:val="28"/>
          <w:lang w:val="uk-UA"/>
        </w:rPr>
        <w:t>. (нині скасована), ст.</w:t>
      </w:r>
      <w:r w:rsidR="00D02ECE">
        <w:rPr>
          <w:bCs/>
          <w:color w:val="000000"/>
          <w:sz w:val="28"/>
          <w:szCs w:val="28"/>
        </w:rPr>
        <w:t> </w:t>
      </w:r>
      <w:r w:rsidR="00D02ECE" w:rsidRPr="00D02ECE">
        <w:rPr>
          <w:bCs/>
          <w:color w:val="000000"/>
          <w:sz w:val="28"/>
          <w:szCs w:val="28"/>
        </w:rPr>
        <w:t>2</w:t>
      </w:r>
      <w:r w:rsidRPr="00D02ECE">
        <w:rPr>
          <w:bCs/>
          <w:color w:val="000000"/>
          <w:sz w:val="28"/>
          <w:szCs w:val="28"/>
        </w:rPr>
        <w:t>.3</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lang w:val="uk-UA"/>
        </w:rPr>
      </w:pPr>
      <w:r w:rsidRPr="00D02ECE">
        <w:rPr>
          <w:bCs/>
          <w:color w:val="000000"/>
          <w:sz w:val="28"/>
          <w:szCs w:val="28"/>
          <w:lang w:val="uk-UA"/>
        </w:rPr>
        <w:t xml:space="preserve">Інструкція </w:t>
      </w:r>
      <w:r w:rsidR="00D02ECE">
        <w:rPr>
          <w:bCs/>
          <w:color w:val="000000"/>
          <w:sz w:val="28"/>
          <w:szCs w:val="28"/>
          <w:lang w:val="uk-UA"/>
        </w:rPr>
        <w:t>«</w:t>
      </w:r>
      <w:r w:rsidR="00D02ECE" w:rsidRPr="00D02ECE">
        <w:rPr>
          <w:bCs/>
          <w:color w:val="000000"/>
          <w:sz w:val="28"/>
          <w:szCs w:val="28"/>
          <w:lang w:val="uk-UA"/>
        </w:rPr>
        <w:t>П</w:t>
      </w:r>
      <w:r w:rsidRPr="00D02ECE">
        <w:rPr>
          <w:bCs/>
          <w:color w:val="000000"/>
          <w:sz w:val="28"/>
          <w:szCs w:val="28"/>
          <w:lang w:val="uk-UA"/>
        </w:rPr>
        <w:t>ро порядок регулювання та аналіз діяльності комерційних банків</w:t>
      </w:r>
      <w:r w:rsidR="00D02ECE">
        <w:rPr>
          <w:bCs/>
          <w:color w:val="000000"/>
          <w:sz w:val="28"/>
          <w:szCs w:val="28"/>
          <w:lang w:val="uk-UA"/>
        </w:rPr>
        <w:t>»</w:t>
      </w:r>
      <w:r w:rsidR="00D02ECE" w:rsidRPr="00D02ECE">
        <w:rPr>
          <w:bCs/>
          <w:color w:val="000000"/>
          <w:sz w:val="28"/>
          <w:szCs w:val="28"/>
          <w:lang w:val="uk-UA"/>
        </w:rPr>
        <w:t>,</w:t>
      </w:r>
      <w:r w:rsidRPr="00D02ECE">
        <w:rPr>
          <w:bCs/>
          <w:color w:val="000000"/>
          <w:sz w:val="28"/>
          <w:szCs w:val="28"/>
          <w:lang w:val="uk-UA"/>
        </w:rPr>
        <w:t xml:space="preserve"> затверджена постановою Правління НБУ</w:t>
      </w:r>
      <w:r w:rsidRPr="00D02ECE">
        <w:rPr>
          <w:bCs/>
          <w:color w:val="000000"/>
          <w:sz w:val="28"/>
          <w:szCs w:val="28"/>
        </w:rPr>
        <w:t xml:space="preserve"> </w:t>
      </w:r>
      <w:r w:rsidR="00D02ECE">
        <w:rPr>
          <w:bCs/>
          <w:color w:val="000000"/>
          <w:sz w:val="28"/>
          <w:szCs w:val="28"/>
        </w:rPr>
        <w:t>№</w:t>
      </w:r>
      <w:r w:rsidR="00D02ECE" w:rsidRPr="00D02ECE">
        <w:rPr>
          <w:bCs/>
          <w:color w:val="000000"/>
          <w:sz w:val="28"/>
          <w:szCs w:val="28"/>
        </w:rPr>
        <w:t>1</w:t>
      </w:r>
      <w:r w:rsidRPr="00D02ECE">
        <w:rPr>
          <w:bCs/>
          <w:color w:val="000000"/>
          <w:sz w:val="28"/>
          <w:szCs w:val="28"/>
        </w:rPr>
        <w:t>41,</w:t>
      </w:r>
      <w:r w:rsidRPr="00D02ECE">
        <w:rPr>
          <w:bCs/>
          <w:color w:val="000000"/>
          <w:sz w:val="28"/>
          <w:szCs w:val="28"/>
          <w:lang w:val="uk-UA"/>
        </w:rPr>
        <w:t xml:space="preserve"> ст.</w:t>
      </w:r>
      <w:r w:rsidR="00D02ECE">
        <w:rPr>
          <w:bCs/>
          <w:color w:val="000000"/>
          <w:sz w:val="28"/>
          <w:szCs w:val="28"/>
        </w:rPr>
        <w:t> </w:t>
      </w:r>
      <w:r w:rsidR="00D02ECE" w:rsidRPr="00D02ECE">
        <w:rPr>
          <w:bCs/>
          <w:color w:val="000000"/>
          <w:sz w:val="28"/>
          <w:szCs w:val="28"/>
        </w:rPr>
        <w:t>2</w:t>
      </w:r>
      <w:r w:rsidRPr="00D02ECE">
        <w:rPr>
          <w:bCs/>
          <w:color w:val="000000"/>
          <w:sz w:val="28"/>
          <w:szCs w:val="28"/>
        </w:rPr>
        <w:t>.3</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lang w:val="uk-UA"/>
        </w:rPr>
      </w:pPr>
      <w:r w:rsidRPr="00D02ECE">
        <w:rPr>
          <w:bCs/>
          <w:color w:val="000000"/>
          <w:sz w:val="28"/>
          <w:szCs w:val="28"/>
          <w:lang w:val="uk-UA"/>
        </w:rPr>
        <w:t xml:space="preserve">Інструкція </w:t>
      </w:r>
      <w:r w:rsidR="00D02ECE">
        <w:rPr>
          <w:bCs/>
          <w:color w:val="000000"/>
          <w:sz w:val="28"/>
          <w:szCs w:val="28"/>
          <w:lang w:val="uk-UA"/>
        </w:rPr>
        <w:t>«</w:t>
      </w:r>
      <w:r w:rsidR="00D02ECE" w:rsidRPr="00D02ECE">
        <w:rPr>
          <w:bCs/>
          <w:color w:val="000000"/>
          <w:sz w:val="28"/>
          <w:szCs w:val="28"/>
          <w:lang w:val="uk-UA"/>
        </w:rPr>
        <w:t>П</w:t>
      </w:r>
      <w:r w:rsidRPr="00D02ECE">
        <w:rPr>
          <w:bCs/>
          <w:color w:val="000000"/>
          <w:sz w:val="28"/>
          <w:szCs w:val="28"/>
          <w:lang w:val="uk-UA"/>
        </w:rPr>
        <w:t>ро порядок регулювання діяльності банків України</w:t>
      </w:r>
      <w:r w:rsidR="00D02ECE">
        <w:rPr>
          <w:bCs/>
          <w:color w:val="000000"/>
          <w:sz w:val="28"/>
          <w:szCs w:val="28"/>
          <w:lang w:val="uk-UA"/>
        </w:rPr>
        <w:t>»</w:t>
      </w:r>
      <w:r w:rsidR="00D02ECE" w:rsidRPr="00D02ECE">
        <w:rPr>
          <w:bCs/>
          <w:color w:val="000000"/>
          <w:sz w:val="28"/>
          <w:szCs w:val="28"/>
          <w:lang w:val="uk-UA"/>
        </w:rPr>
        <w:t>,</w:t>
      </w:r>
      <w:r w:rsidRPr="00D02ECE">
        <w:rPr>
          <w:bCs/>
          <w:color w:val="000000"/>
          <w:sz w:val="28"/>
          <w:szCs w:val="28"/>
          <w:lang w:val="uk-UA"/>
        </w:rPr>
        <w:t xml:space="preserve"> затверджена постановою Правління НБУ </w:t>
      </w:r>
      <w:r w:rsidR="00D02ECE">
        <w:rPr>
          <w:bCs/>
          <w:color w:val="000000"/>
          <w:sz w:val="28"/>
          <w:szCs w:val="28"/>
          <w:lang w:val="uk-UA"/>
        </w:rPr>
        <w:t>№</w:t>
      </w:r>
      <w:r w:rsidR="00D02ECE" w:rsidRPr="00D02ECE">
        <w:rPr>
          <w:bCs/>
          <w:color w:val="000000"/>
          <w:sz w:val="28"/>
          <w:szCs w:val="28"/>
          <w:lang w:val="uk-UA"/>
        </w:rPr>
        <w:t>3</w:t>
      </w:r>
      <w:r w:rsidRPr="00D02ECE">
        <w:rPr>
          <w:bCs/>
          <w:color w:val="000000"/>
          <w:sz w:val="28"/>
          <w:szCs w:val="28"/>
          <w:lang w:val="uk-UA"/>
        </w:rPr>
        <w:t>68 від 28.08.2001</w:t>
      </w:r>
      <w:r w:rsidR="00D02ECE">
        <w:rPr>
          <w:bCs/>
          <w:color w:val="000000"/>
          <w:sz w:val="28"/>
          <w:szCs w:val="28"/>
          <w:lang w:val="uk-UA"/>
        </w:rPr>
        <w:t> </w:t>
      </w:r>
      <w:r w:rsidR="00D02ECE" w:rsidRPr="00D02ECE">
        <w:rPr>
          <w:bCs/>
          <w:color w:val="000000"/>
          <w:sz w:val="28"/>
          <w:szCs w:val="28"/>
          <w:lang w:val="uk-UA"/>
        </w:rPr>
        <w:t>р</w:t>
      </w:r>
      <w:r w:rsidRPr="00D02ECE">
        <w:rPr>
          <w:bCs/>
          <w:color w:val="000000"/>
          <w:sz w:val="28"/>
          <w:szCs w:val="28"/>
          <w:lang w:val="uk-UA"/>
        </w:rPr>
        <w:t>. (із змінами та доповненнями станом на 1.01.2009</w:t>
      </w:r>
      <w:r w:rsidR="00D02ECE">
        <w:rPr>
          <w:bCs/>
          <w:color w:val="000000"/>
          <w:sz w:val="28"/>
          <w:szCs w:val="28"/>
          <w:lang w:val="uk-UA"/>
        </w:rPr>
        <w:t> </w:t>
      </w:r>
      <w:r w:rsidR="00D02ECE" w:rsidRPr="00D02ECE">
        <w:rPr>
          <w:bCs/>
          <w:color w:val="000000"/>
          <w:sz w:val="28"/>
          <w:szCs w:val="28"/>
          <w:lang w:val="uk-UA"/>
        </w:rPr>
        <w:t>р</w:t>
      </w:r>
      <w:r w:rsidRPr="00D02ECE">
        <w:rPr>
          <w:bCs/>
          <w:color w:val="000000"/>
          <w:sz w:val="28"/>
          <w:szCs w:val="28"/>
          <w:lang w:val="uk-UA"/>
        </w:rPr>
        <w:t>.), ст.</w:t>
      </w:r>
      <w:r w:rsidR="00D02ECE">
        <w:rPr>
          <w:bCs/>
          <w:color w:val="000000"/>
          <w:sz w:val="28"/>
          <w:szCs w:val="28"/>
          <w:lang w:val="uk-UA"/>
        </w:rPr>
        <w:t> </w:t>
      </w:r>
      <w:r w:rsidR="00D02ECE" w:rsidRPr="00D02ECE">
        <w:rPr>
          <w:bCs/>
          <w:color w:val="000000"/>
          <w:sz w:val="28"/>
          <w:szCs w:val="28"/>
          <w:lang w:val="uk-UA"/>
        </w:rPr>
        <w:t>3</w:t>
      </w:r>
      <w:r w:rsidRPr="00D02ECE">
        <w:rPr>
          <w:bCs/>
          <w:color w:val="000000"/>
          <w:sz w:val="28"/>
          <w:szCs w:val="28"/>
          <w:lang w:val="uk-UA"/>
        </w:rPr>
        <w:t>.4</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lang w:val="uk-UA"/>
        </w:rPr>
      </w:pPr>
      <w:r w:rsidRPr="00D02ECE">
        <w:rPr>
          <w:bCs/>
          <w:color w:val="000000"/>
          <w:sz w:val="28"/>
          <w:szCs w:val="28"/>
          <w:lang w:val="uk-UA"/>
        </w:rPr>
        <w:t xml:space="preserve">Постанова Правління НБУ </w:t>
      </w:r>
      <w:r w:rsidR="00D02ECE">
        <w:rPr>
          <w:bCs/>
          <w:color w:val="000000"/>
          <w:sz w:val="28"/>
          <w:szCs w:val="28"/>
          <w:lang w:val="uk-UA"/>
        </w:rPr>
        <w:t>№</w:t>
      </w:r>
      <w:r w:rsidR="00D02ECE" w:rsidRPr="00D02ECE">
        <w:rPr>
          <w:bCs/>
          <w:color w:val="000000"/>
          <w:sz w:val="28"/>
          <w:szCs w:val="28"/>
          <w:lang w:val="uk-UA"/>
        </w:rPr>
        <w:t>1</w:t>
      </w:r>
      <w:r w:rsidRPr="00D02ECE">
        <w:rPr>
          <w:bCs/>
          <w:color w:val="000000"/>
          <w:sz w:val="28"/>
          <w:szCs w:val="28"/>
          <w:lang w:val="uk-UA"/>
        </w:rPr>
        <w:t xml:space="preserve">07 </w:t>
      </w:r>
      <w:r w:rsidR="00D02ECE">
        <w:rPr>
          <w:bCs/>
          <w:color w:val="000000"/>
          <w:sz w:val="28"/>
          <w:szCs w:val="28"/>
          <w:lang w:val="uk-UA"/>
        </w:rPr>
        <w:t>«</w:t>
      </w:r>
      <w:r w:rsidR="00D02ECE" w:rsidRPr="00D02ECE">
        <w:rPr>
          <w:bCs/>
          <w:color w:val="000000"/>
          <w:sz w:val="28"/>
          <w:szCs w:val="28"/>
          <w:lang w:val="uk-UA"/>
        </w:rPr>
        <w:t>П</w:t>
      </w:r>
      <w:r w:rsidRPr="00D02ECE">
        <w:rPr>
          <w:bCs/>
          <w:color w:val="000000"/>
          <w:sz w:val="28"/>
          <w:szCs w:val="28"/>
          <w:lang w:val="uk-UA"/>
        </w:rPr>
        <w:t>ро внесення змін до деяких нормативно-правових актів НБУ та встановлення лімітів відкритої валютної позиції</w:t>
      </w:r>
      <w:r w:rsidR="00D02ECE">
        <w:rPr>
          <w:bCs/>
          <w:color w:val="000000"/>
          <w:sz w:val="28"/>
          <w:szCs w:val="28"/>
          <w:lang w:val="uk-UA"/>
        </w:rPr>
        <w:t>»</w:t>
      </w:r>
      <w:r w:rsidR="00D02ECE" w:rsidRPr="00D02ECE">
        <w:rPr>
          <w:bCs/>
          <w:color w:val="000000"/>
          <w:sz w:val="28"/>
          <w:szCs w:val="28"/>
          <w:lang w:val="uk-UA"/>
        </w:rPr>
        <w:t xml:space="preserve"> </w:t>
      </w:r>
      <w:r w:rsidRPr="00D02ECE">
        <w:rPr>
          <w:bCs/>
          <w:color w:val="000000"/>
          <w:sz w:val="28"/>
          <w:szCs w:val="28"/>
          <w:lang w:val="uk-UA"/>
        </w:rPr>
        <w:t>від 28.02.2009</w:t>
      </w:r>
      <w:r w:rsidR="00D02ECE">
        <w:rPr>
          <w:bCs/>
          <w:color w:val="000000"/>
          <w:sz w:val="28"/>
          <w:szCs w:val="28"/>
          <w:lang w:val="uk-UA"/>
        </w:rPr>
        <w:t> </w:t>
      </w:r>
      <w:r w:rsidR="00D02ECE" w:rsidRPr="00D02ECE">
        <w:rPr>
          <w:bCs/>
          <w:color w:val="000000"/>
          <w:sz w:val="28"/>
          <w:szCs w:val="28"/>
          <w:lang w:val="uk-UA"/>
        </w:rPr>
        <w:t>р</w:t>
      </w:r>
      <w:r w:rsidRPr="00D02ECE">
        <w:rPr>
          <w:bCs/>
          <w:color w:val="000000"/>
          <w:sz w:val="28"/>
          <w:szCs w:val="28"/>
          <w:lang w:val="uk-UA"/>
        </w:rPr>
        <w:t>., абз. 4.</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lang w:val="uk-UA"/>
        </w:rPr>
      </w:pPr>
      <w:r w:rsidRPr="00D02ECE">
        <w:rPr>
          <w:bCs/>
          <w:color w:val="000000"/>
          <w:sz w:val="28"/>
          <w:szCs w:val="28"/>
          <w:lang w:val="uk-UA" w:eastAsia="uk-UA"/>
        </w:rPr>
        <w:t>Рябініна</w:t>
      </w:r>
      <w:r w:rsidRPr="00D02ECE">
        <w:rPr>
          <w:bCs/>
          <w:color w:val="000000"/>
          <w:sz w:val="28"/>
          <w:szCs w:val="28"/>
          <w:lang w:eastAsia="uk-UA"/>
        </w:rPr>
        <w:t xml:space="preserve"> </w:t>
      </w:r>
      <w:r w:rsidR="00D02ECE" w:rsidRPr="00D02ECE">
        <w:rPr>
          <w:bCs/>
          <w:color w:val="000000"/>
          <w:sz w:val="28"/>
          <w:szCs w:val="28"/>
          <w:lang w:eastAsia="uk-UA"/>
        </w:rPr>
        <w:t>Л.</w:t>
      </w:r>
      <w:r w:rsidR="00D02ECE" w:rsidRPr="00D02ECE">
        <w:rPr>
          <w:bCs/>
          <w:color w:val="000000"/>
          <w:sz w:val="28"/>
          <w:szCs w:val="28"/>
          <w:lang w:val="uk-UA" w:eastAsia="uk-UA"/>
        </w:rPr>
        <w:t>М.</w:t>
      </w:r>
      <w:r w:rsidR="00D02ECE">
        <w:rPr>
          <w:bCs/>
          <w:color w:val="000000"/>
          <w:sz w:val="28"/>
          <w:szCs w:val="28"/>
          <w:lang w:eastAsia="uk-UA"/>
        </w:rPr>
        <w:t> </w:t>
      </w:r>
      <w:r w:rsidR="00D02ECE" w:rsidRPr="00D02ECE">
        <w:rPr>
          <w:bCs/>
          <w:color w:val="000000"/>
          <w:sz w:val="28"/>
          <w:szCs w:val="28"/>
          <w:lang w:val="uk-UA" w:eastAsia="uk-UA"/>
        </w:rPr>
        <w:t>Переваги</w:t>
      </w:r>
      <w:r w:rsidRPr="00D02ECE">
        <w:rPr>
          <w:bCs/>
          <w:color w:val="000000"/>
          <w:sz w:val="28"/>
          <w:szCs w:val="28"/>
          <w:lang w:val="uk-UA" w:eastAsia="uk-UA"/>
        </w:rPr>
        <w:t xml:space="preserve"> та недоліки економічних нормативів. </w:t>
      </w:r>
      <w:r w:rsidR="00D02ECE">
        <w:rPr>
          <w:bCs/>
          <w:color w:val="000000"/>
          <w:sz w:val="28"/>
          <w:szCs w:val="28"/>
          <w:lang w:val="uk-UA" w:eastAsia="uk-UA"/>
        </w:rPr>
        <w:t>«</w:t>
      </w:r>
      <w:r w:rsidR="00D02ECE" w:rsidRPr="00D02ECE">
        <w:rPr>
          <w:bCs/>
          <w:color w:val="000000"/>
          <w:sz w:val="28"/>
          <w:szCs w:val="28"/>
          <w:lang w:val="uk-UA" w:eastAsia="uk-UA"/>
        </w:rPr>
        <w:t>В</w:t>
      </w:r>
      <w:r w:rsidRPr="00D02ECE">
        <w:rPr>
          <w:bCs/>
          <w:color w:val="000000"/>
          <w:sz w:val="28"/>
          <w:szCs w:val="28"/>
          <w:lang w:val="uk-UA" w:eastAsia="uk-UA"/>
        </w:rPr>
        <w:t>існик Технологічного університету Поділля</w:t>
      </w:r>
      <w:r w:rsidR="00D02ECE">
        <w:rPr>
          <w:bCs/>
          <w:color w:val="000000"/>
          <w:sz w:val="28"/>
          <w:szCs w:val="28"/>
          <w:lang w:val="uk-UA" w:eastAsia="uk-UA"/>
        </w:rPr>
        <w:t>»</w:t>
      </w:r>
      <w:r w:rsidR="00D02ECE" w:rsidRPr="00D02ECE">
        <w:rPr>
          <w:bCs/>
          <w:color w:val="000000"/>
          <w:sz w:val="28"/>
          <w:szCs w:val="28"/>
          <w:lang w:val="uk-UA" w:eastAsia="uk-UA"/>
        </w:rPr>
        <w:t>.</w:t>
      </w:r>
      <w:r w:rsidRPr="00D02ECE">
        <w:rPr>
          <w:bCs/>
          <w:color w:val="000000"/>
          <w:sz w:val="28"/>
          <w:szCs w:val="28"/>
          <w:lang w:val="uk-UA" w:eastAsia="uk-UA"/>
        </w:rPr>
        <w:t xml:space="preserve"> Ч.</w:t>
      </w:r>
      <w:r w:rsidR="00D02ECE">
        <w:rPr>
          <w:bCs/>
          <w:color w:val="000000"/>
          <w:sz w:val="28"/>
          <w:szCs w:val="28"/>
          <w:lang w:eastAsia="uk-UA"/>
        </w:rPr>
        <w:t> </w:t>
      </w:r>
      <w:r w:rsidR="00D02ECE" w:rsidRPr="00D02ECE">
        <w:rPr>
          <w:bCs/>
          <w:color w:val="000000"/>
          <w:sz w:val="28"/>
          <w:szCs w:val="28"/>
          <w:lang w:eastAsia="uk-UA"/>
        </w:rPr>
        <w:t>2</w:t>
      </w:r>
      <w:r w:rsidRPr="00D02ECE">
        <w:rPr>
          <w:bCs/>
          <w:color w:val="000000"/>
          <w:sz w:val="28"/>
          <w:szCs w:val="28"/>
          <w:lang w:eastAsia="uk-UA"/>
        </w:rPr>
        <w:t>.</w:t>
      </w:r>
      <w:r w:rsidRPr="00D02ECE">
        <w:rPr>
          <w:bCs/>
          <w:color w:val="000000"/>
          <w:sz w:val="28"/>
          <w:szCs w:val="28"/>
          <w:lang w:val="uk-UA" w:eastAsia="uk-UA"/>
        </w:rPr>
        <w:t xml:space="preserve"> Т.</w:t>
      </w:r>
      <w:r w:rsidRPr="00D02ECE">
        <w:rPr>
          <w:bCs/>
          <w:color w:val="000000"/>
          <w:sz w:val="28"/>
          <w:szCs w:val="28"/>
          <w:lang w:eastAsia="uk-UA"/>
        </w:rPr>
        <w:t xml:space="preserve"> 2.</w:t>
      </w:r>
      <w:r w:rsidRPr="00D02ECE">
        <w:rPr>
          <w:bCs/>
          <w:color w:val="000000"/>
          <w:sz w:val="28"/>
          <w:szCs w:val="28"/>
          <w:lang w:val="uk-UA" w:eastAsia="uk-UA"/>
        </w:rPr>
        <w:t xml:space="preserve"> </w:t>
      </w:r>
      <w:r w:rsidR="00D02ECE">
        <w:rPr>
          <w:bCs/>
          <w:color w:val="000000"/>
          <w:sz w:val="28"/>
          <w:szCs w:val="28"/>
          <w:lang w:val="uk-UA" w:eastAsia="uk-UA"/>
        </w:rPr>
        <w:t>«</w:t>
      </w:r>
      <w:r w:rsidR="00D02ECE" w:rsidRPr="00D02ECE">
        <w:rPr>
          <w:bCs/>
          <w:color w:val="000000"/>
          <w:sz w:val="28"/>
          <w:szCs w:val="28"/>
          <w:lang w:val="uk-UA" w:eastAsia="uk-UA"/>
        </w:rPr>
        <w:t>Е</w:t>
      </w:r>
      <w:r w:rsidRPr="00D02ECE">
        <w:rPr>
          <w:bCs/>
          <w:color w:val="000000"/>
          <w:sz w:val="28"/>
          <w:szCs w:val="28"/>
          <w:lang w:val="uk-UA" w:eastAsia="uk-UA"/>
        </w:rPr>
        <w:t>кономічні науки</w:t>
      </w:r>
      <w:r w:rsidR="00D02ECE">
        <w:rPr>
          <w:bCs/>
          <w:color w:val="000000"/>
          <w:sz w:val="28"/>
          <w:szCs w:val="28"/>
          <w:lang w:val="uk-UA" w:eastAsia="uk-UA"/>
        </w:rPr>
        <w:t>»</w:t>
      </w:r>
      <w:r w:rsidR="00D02ECE" w:rsidRPr="00D02ECE">
        <w:rPr>
          <w:bCs/>
          <w:color w:val="000000"/>
          <w:sz w:val="28"/>
          <w:szCs w:val="28"/>
          <w:lang w:val="uk-UA" w:eastAsia="uk-UA"/>
        </w:rPr>
        <w:t>.</w:t>
      </w:r>
      <w:r w:rsidRPr="00D02ECE">
        <w:rPr>
          <w:bCs/>
          <w:color w:val="000000"/>
          <w:sz w:val="28"/>
          <w:szCs w:val="28"/>
          <w:lang w:val="uk-UA" w:eastAsia="uk-UA"/>
        </w:rPr>
        <w:t xml:space="preserve"> Науковий журнал Хмельницького Технологічного університету Поділля</w:t>
      </w:r>
      <w:r w:rsidRPr="00D02ECE">
        <w:rPr>
          <w:bCs/>
          <w:color w:val="000000"/>
          <w:sz w:val="28"/>
          <w:szCs w:val="28"/>
          <w:lang w:eastAsia="uk-UA"/>
        </w:rPr>
        <w:t xml:space="preserve"> </w:t>
      </w:r>
      <w:r w:rsidR="00D02ECE">
        <w:rPr>
          <w:bCs/>
          <w:color w:val="000000"/>
          <w:sz w:val="28"/>
          <w:szCs w:val="28"/>
          <w:lang w:eastAsia="uk-UA"/>
        </w:rPr>
        <w:t>№</w:t>
      </w:r>
      <w:r w:rsidR="00D02ECE" w:rsidRPr="00D02ECE">
        <w:rPr>
          <w:bCs/>
          <w:color w:val="000000"/>
          <w:sz w:val="28"/>
          <w:szCs w:val="28"/>
          <w:lang w:eastAsia="uk-UA"/>
        </w:rPr>
        <w:t>1</w:t>
      </w:r>
      <w:r w:rsidRPr="00D02ECE">
        <w:rPr>
          <w:bCs/>
          <w:color w:val="000000"/>
          <w:sz w:val="28"/>
          <w:szCs w:val="28"/>
          <w:lang w:eastAsia="uk-UA"/>
        </w:rPr>
        <w:t>, 2004,</w:t>
      </w:r>
      <w:r w:rsidRPr="00D02ECE">
        <w:rPr>
          <w:bCs/>
          <w:color w:val="000000"/>
          <w:sz w:val="28"/>
          <w:szCs w:val="28"/>
          <w:lang w:val="uk-UA" w:eastAsia="uk-UA"/>
        </w:rPr>
        <w:t xml:space="preserve"> с.</w:t>
      </w:r>
      <w:r w:rsidR="00D02ECE">
        <w:rPr>
          <w:bCs/>
          <w:color w:val="000000"/>
          <w:sz w:val="28"/>
          <w:szCs w:val="28"/>
          <w:lang w:eastAsia="uk-UA"/>
        </w:rPr>
        <w:t> </w:t>
      </w:r>
      <w:r w:rsidR="00D02ECE" w:rsidRPr="00D02ECE">
        <w:rPr>
          <w:bCs/>
          <w:color w:val="000000"/>
          <w:sz w:val="28"/>
          <w:szCs w:val="28"/>
          <w:lang w:eastAsia="uk-UA"/>
        </w:rPr>
        <w:t>28</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lang w:val="uk-UA"/>
        </w:rPr>
      </w:pPr>
      <w:r w:rsidRPr="00D02ECE">
        <w:rPr>
          <w:bCs/>
          <w:color w:val="000000"/>
          <w:sz w:val="28"/>
          <w:szCs w:val="28"/>
          <w:lang w:val="uk-UA" w:eastAsia="uk-UA"/>
        </w:rPr>
        <w:t>Рябінін</w:t>
      </w:r>
      <w:r w:rsidRPr="00D02ECE">
        <w:rPr>
          <w:bCs/>
          <w:color w:val="000000"/>
          <w:sz w:val="28"/>
          <w:szCs w:val="28"/>
          <w:lang w:eastAsia="uk-UA"/>
        </w:rPr>
        <w:t xml:space="preserve">а </w:t>
      </w:r>
      <w:r w:rsidR="00D02ECE" w:rsidRPr="00D02ECE">
        <w:rPr>
          <w:bCs/>
          <w:color w:val="000000"/>
          <w:sz w:val="28"/>
          <w:szCs w:val="28"/>
          <w:lang w:eastAsia="uk-UA"/>
        </w:rPr>
        <w:t>Л.</w:t>
      </w:r>
      <w:r w:rsidR="00D02ECE" w:rsidRPr="00D02ECE">
        <w:rPr>
          <w:bCs/>
          <w:color w:val="000000"/>
          <w:sz w:val="28"/>
          <w:szCs w:val="28"/>
          <w:lang w:val="uk-UA" w:eastAsia="uk-UA"/>
        </w:rPr>
        <w:t>М.</w:t>
      </w:r>
      <w:r w:rsidR="00D02ECE">
        <w:rPr>
          <w:bCs/>
          <w:color w:val="000000"/>
          <w:sz w:val="28"/>
          <w:szCs w:val="28"/>
          <w:lang w:eastAsia="uk-UA"/>
        </w:rPr>
        <w:t> </w:t>
      </w:r>
      <w:r w:rsidR="00D02ECE" w:rsidRPr="00D02ECE">
        <w:rPr>
          <w:bCs/>
          <w:color w:val="000000"/>
          <w:sz w:val="28"/>
          <w:szCs w:val="28"/>
          <w:lang w:val="uk-UA" w:eastAsia="uk-UA"/>
        </w:rPr>
        <w:t>Роль</w:t>
      </w:r>
      <w:r w:rsidRPr="00D02ECE">
        <w:rPr>
          <w:bCs/>
          <w:color w:val="000000"/>
          <w:sz w:val="28"/>
          <w:szCs w:val="28"/>
          <w:lang w:val="uk-UA" w:eastAsia="uk-UA"/>
        </w:rPr>
        <w:t xml:space="preserve"> Національного банку та законодавчих актів України в її економічному розвитку. </w:t>
      </w:r>
      <w:r w:rsidR="00D02ECE">
        <w:rPr>
          <w:bCs/>
          <w:color w:val="000000"/>
          <w:sz w:val="28"/>
          <w:szCs w:val="28"/>
          <w:lang w:val="uk-UA" w:eastAsia="uk-UA"/>
        </w:rPr>
        <w:t>«</w:t>
      </w:r>
      <w:r w:rsidR="00D02ECE" w:rsidRPr="00D02ECE">
        <w:rPr>
          <w:bCs/>
          <w:color w:val="000000"/>
          <w:sz w:val="28"/>
          <w:szCs w:val="28"/>
          <w:lang w:val="uk-UA" w:eastAsia="uk-UA"/>
        </w:rPr>
        <w:t>Е</w:t>
      </w:r>
      <w:r w:rsidRPr="00D02ECE">
        <w:rPr>
          <w:bCs/>
          <w:color w:val="000000"/>
          <w:sz w:val="28"/>
          <w:szCs w:val="28"/>
          <w:lang w:val="uk-UA" w:eastAsia="uk-UA"/>
        </w:rPr>
        <w:t>кономіка і держава</w:t>
      </w:r>
      <w:r w:rsidR="00D02ECE">
        <w:rPr>
          <w:bCs/>
          <w:color w:val="000000"/>
          <w:sz w:val="28"/>
          <w:szCs w:val="28"/>
          <w:lang w:val="uk-UA" w:eastAsia="uk-UA"/>
        </w:rPr>
        <w:t>»</w:t>
      </w:r>
      <w:r w:rsidR="00D02ECE" w:rsidRPr="00D02ECE">
        <w:rPr>
          <w:bCs/>
          <w:color w:val="000000"/>
          <w:sz w:val="28"/>
          <w:szCs w:val="28"/>
          <w:lang w:eastAsia="uk-UA"/>
        </w:rPr>
        <w:t xml:space="preserve"> </w:t>
      </w:r>
      <w:r w:rsidR="00D02ECE">
        <w:rPr>
          <w:bCs/>
          <w:color w:val="000000"/>
          <w:sz w:val="28"/>
          <w:szCs w:val="28"/>
          <w:lang w:eastAsia="uk-UA"/>
        </w:rPr>
        <w:t>№</w:t>
      </w:r>
      <w:r w:rsidR="00D02ECE" w:rsidRPr="00D02ECE">
        <w:rPr>
          <w:bCs/>
          <w:color w:val="000000"/>
          <w:sz w:val="28"/>
          <w:szCs w:val="28"/>
          <w:lang w:eastAsia="uk-UA"/>
        </w:rPr>
        <w:t>8</w:t>
      </w:r>
      <w:r w:rsidRPr="00D02ECE">
        <w:rPr>
          <w:bCs/>
          <w:color w:val="000000"/>
          <w:sz w:val="28"/>
          <w:szCs w:val="28"/>
          <w:lang w:eastAsia="uk-UA"/>
        </w:rPr>
        <w:t>, 2004,</w:t>
      </w:r>
      <w:r w:rsidRPr="00D02ECE">
        <w:rPr>
          <w:bCs/>
          <w:color w:val="000000"/>
          <w:sz w:val="28"/>
          <w:szCs w:val="28"/>
          <w:lang w:val="uk-UA" w:eastAsia="uk-UA"/>
        </w:rPr>
        <w:t xml:space="preserve"> с.</w:t>
      </w:r>
      <w:r w:rsidR="00D02ECE">
        <w:rPr>
          <w:bCs/>
          <w:color w:val="000000"/>
          <w:sz w:val="28"/>
          <w:szCs w:val="28"/>
          <w:lang w:eastAsia="uk-UA"/>
        </w:rPr>
        <w:t> </w:t>
      </w:r>
      <w:r w:rsidR="00D02ECE" w:rsidRPr="00D02ECE">
        <w:rPr>
          <w:bCs/>
          <w:color w:val="000000"/>
          <w:sz w:val="28"/>
          <w:szCs w:val="28"/>
          <w:lang w:eastAsia="uk-UA"/>
        </w:rPr>
        <w:t>46</w:t>
      </w:r>
    </w:p>
    <w:p w:rsidR="003D4615" w:rsidRPr="00D02ECE" w:rsidRDefault="003D4615" w:rsidP="0066560D">
      <w:pPr>
        <w:pStyle w:val="a7"/>
        <w:numPr>
          <w:ilvl w:val="0"/>
          <w:numId w:val="1"/>
        </w:numPr>
        <w:tabs>
          <w:tab w:val="left" w:pos="342"/>
        </w:tabs>
        <w:autoSpaceDE w:val="0"/>
        <w:autoSpaceDN w:val="0"/>
        <w:adjustRightInd w:val="0"/>
        <w:spacing w:line="360" w:lineRule="auto"/>
        <w:ind w:left="0" w:firstLine="0"/>
        <w:jc w:val="both"/>
        <w:rPr>
          <w:bCs/>
          <w:color w:val="000000"/>
          <w:sz w:val="28"/>
          <w:szCs w:val="28"/>
          <w:lang w:val="uk-UA"/>
        </w:rPr>
      </w:pPr>
      <w:r w:rsidRPr="00D02ECE">
        <w:rPr>
          <w:bCs/>
          <w:color w:val="000000"/>
          <w:sz w:val="28"/>
          <w:szCs w:val="28"/>
          <w:lang w:val="uk-UA" w:eastAsia="uk-UA"/>
        </w:rPr>
        <w:t>Рябінін</w:t>
      </w:r>
      <w:r w:rsidRPr="00D02ECE">
        <w:rPr>
          <w:bCs/>
          <w:color w:val="000000"/>
          <w:sz w:val="28"/>
          <w:szCs w:val="28"/>
          <w:lang w:eastAsia="uk-UA"/>
        </w:rPr>
        <w:t xml:space="preserve">а </w:t>
      </w:r>
      <w:r w:rsidR="00D02ECE" w:rsidRPr="00D02ECE">
        <w:rPr>
          <w:bCs/>
          <w:color w:val="000000"/>
          <w:sz w:val="28"/>
          <w:szCs w:val="28"/>
          <w:lang w:eastAsia="uk-UA"/>
        </w:rPr>
        <w:t>Л.</w:t>
      </w:r>
      <w:r w:rsidR="00D02ECE" w:rsidRPr="00D02ECE">
        <w:rPr>
          <w:bCs/>
          <w:color w:val="000000"/>
          <w:sz w:val="28"/>
          <w:szCs w:val="28"/>
          <w:lang w:val="uk-UA" w:eastAsia="uk-UA"/>
        </w:rPr>
        <w:t>М.</w:t>
      </w:r>
      <w:r w:rsidR="00D02ECE">
        <w:rPr>
          <w:bCs/>
          <w:color w:val="000000"/>
          <w:sz w:val="28"/>
          <w:szCs w:val="28"/>
          <w:lang w:eastAsia="uk-UA"/>
        </w:rPr>
        <w:t> </w:t>
      </w:r>
      <w:r w:rsidR="00D02ECE" w:rsidRPr="00D02ECE">
        <w:rPr>
          <w:bCs/>
          <w:color w:val="000000"/>
          <w:sz w:val="28"/>
          <w:szCs w:val="28"/>
          <w:lang w:val="uk-UA" w:eastAsia="uk-UA"/>
        </w:rPr>
        <w:t>Загальна</w:t>
      </w:r>
      <w:r w:rsidRPr="00D02ECE">
        <w:rPr>
          <w:bCs/>
          <w:color w:val="000000"/>
          <w:sz w:val="28"/>
          <w:szCs w:val="28"/>
          <w:lang w:val="uk-UA" w:eastAsia="uk-UA"/>
        </w:rPr>
        <w:t xml:space="preserve"> відкрита валютна позиція комерційного банку та необхідність вдосконалення методики її розрахунку. Збірник наукових праць ОДЕУ </w:t>
      </w:r>
      <w:r w:rsidR="00D02ECE">
        <w:rPr>
          <w:bCs/>
          <w:color w:val="000000"/>
          <w:sz w:val="28"/>
          <w:szCs w:val="28"/>
          <w:lang w:val="uk-UA" w:eastAsia="uk-UA"/>
        </w:rPr>
        <w:t>«</w:t>
      </w:r>
      <w:r w:rsidR="00D02ECE" w:rsidRPr="00D02ECE">
        <w:rPr>
          <w:bCs/>
          <w:color w:val="000000"/>
          <w:sz w:val="28"/>
          <w:szCs w:val="28"/>
          <w:lang w:val="uk-UA" w:eastAsia="uk-UA"/>
        </w:rPr>
        <w:t>В</w:t>
      </w:r>
      <w:r w:rsidRPr="00D02ECE">
        <w:rPr>
          <w:bCs/>
          <w:color w:val="000000"/>
          <w:sz w:val="28"/>
          <w:szCs w:val="28"/>
          <w:lang w:val="uk-UA" w:eastAsia="uk-UA"/>
        </w:rPr>
        <w:t>існик соціально-економічних досліджень</w:t>
      </w:r>
      <w:r w:rsidR="00D02ECE">
        <w:rPr>
          <w:bCs/>
          <w:color w:val="000000"/>
          <w:sz w:val="28"/>
          <w:szCs w:val="28"/>
          <w:lang w:val="uk-UA" w:eastAsia="uk-UA"/>
        </w:rPr>
        <w:t>»</w:t>
      </w:r>
      <w:r w:rsidR="00D02ECE" w:rsidRPr="00D02ECE">
        <w:rPr>
          <w:bCs/>
          <w:color w:val="000000"/>
          <w:sz w:val="28"/>
          <w:szCs w:val="28"/>
          <w:lang w:eastAsia="uk-UA"/>
        </w:rPr>
        <w:t xml:space="preserve"> </w:t>
      </w:r>
      <w:r w:rsidR="00D02ECE">
        <w:rPr>
          <w:bCs/>
          <w:color w:val="000000"/>
          <w:sz w:val="28"/>
          <w:szCs w:val="28"/>
          <w:lang w:eastAsia="uk-UA"/>
        </w:rPr>
        <w:t>№</w:t>
      </w:r>
      <w:r w:rsidR="00D02ECE" w:rsidRPr="00D02ECE">
        <w:rPr>
          <w:bCs/>
          <w:color w:val="000000"/>
          <w:sz w:val="28"/>
          <w:szCs w:val="28"/>
          <w:lang w:eastAsia="uk-UA"/>
        </w:rPr>
        <w:t>3</w:t>
      </w:r>
      <w:r w:rsidRPr="00D02ECE">
        <w:rPr>
          <w:bCs/>
          <w:color w:val="000000"/>
          <w:sz w:val="28"/>
          <w:szCs w:val="28"/>
          <w:lang w:eastAsia="uk-UA"/>
        </w:rPr>
        <w:t>4, 2007,</w:t>
      </w:r>
      <w:r w:rsidRPr="00D02ECE">
        <w:rPr>
          <w:bCs/>
          <w:color w:val="000000"/>
          <w:sz w:val="28"/>
          <w:szCs w:val="28"/>
          <w:lang w:val="uk-UA" w:eastAsia="uk-UA"/>
        </w:rPr>
        <w:t xml:space="preserve"> Одеса, с.</w:t>
      </w:r>
      <w:r w:rsidR="00D02ECE">
        <w:rPr>
          <w:bCs/>
          <w:color w:val="000000"/>
          <w:sz w:val="28"/>
          <w:szCs w:val="28"/>
          <w:lang w:eastAsia="uk-UA"/>
        </w:rPr>
        <w:t> </w:t>
      </w:r>
      <w:r w:rsidR="00D02ECE" w:rsidRPr="00D02ECE">
        <w:rPr>
          <w:bCs/>
          <w:color w:val="000000"/>
          <w:sz w:val="28"/>
          <w:szCs w:val="28"/>
          <w:lang w:eastAsia="uk-UA"/>
        </w:rPr>
        <w:t>281</w:t>
      </w:r>
      <w:r w:rsidRPr="00D02ECE">
        <w:rPr>
          <w:bCs/>
          <w:color w:val="000000"/>
          <w:sz w:val="28"/>
          <w:szCs w:val="28"/>
          <w:lang w:eastAsia="uk-UA"/>
        </w:rPr>
        <w:t>.</w:t>
      </w:r>
      <w:bookmarkStart w:id="0" w:name="_GoBack"/>
      <w:bookmarkEnd w:id="0"/>
    </w:p>
    <w:sectPr w:rsidR="003D4615" w:rsidRPr="00D02ECE" w:rsidSect="00D02ECE">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7D" w:rsidRDefault="00DC3F7D" w:rsidP="00745C8E">
      <w:r>
        <w:separator/>
      </w:r>
    </w:p>
  </w:endnote>
  <w:endnote w:type="continuationSeparator" w:id="0">
    <w:p w:rsidR="00DC3F7D" w:rsidRDefault="00DC3F7D" w:rsidP="007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7D" w:rsidRDefault="00DC3F7D" w:rsidP="00745C8E">
      <w:r>
        <w:separator/>
      </w:r>
    </w:p>
  </w:footnote>
  <w:footnote w:type="continuationSeparator" w:id="0">
    <w:p w:rsidR="00DC3F7D" w:rsidRDefault="00DC3F7D" w:rsidP="0074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615" w:rsidRDefault="00946788" w:rsidP="00D02ECE">
    <w:pPr>
      <w:pStyle w:val="a3"/>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16E68"/>
    <w:multiLevelType w:val="hybridMultilevel"/>
    <w:tmpl w:val="E6143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D2E"/>
    <w:rsid w:val="00105D2E"/>
    <w:rsid w:val="001D3EC4"/>
    <w:rsid w:val="002C43E4"/>
    <w:rsid w:val="003D4615"/>
    <w:rsid w:val="00450CEC"/>
    <w:rsid w:val="00481D8F"/>
    <w:rsid w:val="00536D10"/>
    <w:rsid w:val="00557277"/>
    <w:rsid w:val="00571E13"/>
    <w:rsid w:val="0066560D"/>
    <w:rsid w:val="006D00E3"/>
    <w:rsid w:val="00745C8E"/>
    <w:rsid w:val="007A3A86"/>
    <w:rsid w:val="00815F59"/>
    <w:rsid w:val="00821FA6"/>
    <w:rsid w:val="008B23A7"/>
    <w:rsid w:val="00946788"/>
    <w:rsid w:val="009A00CA"/>
    <w:rsid w:val="009B531D"/>
    <w:rsid w:val="00BB09E8"/>
    <w:rsid w:val="00C45BF9"/>
    <w:rsid w:val="00CB4B69"/>
    <w:rsid w:val="00D02ECE"/>
    <w:rsid w:val="00DC3F7D"/>
    <w:rsid w:val="00DC7537"/>
    <w:rsid w:val="00E37E42"/>
    <w:rsid w:val="00EC67BA"/>
    <w:rsid w:val="00F02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5C731-24FC-4A4E-86E1-364A29BF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E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5C8E"/>
    <w:pPr>
      <w:tabs>
        <w:tab w:val="center" w:pos="4677"/>
        <w:tab w:val="right" w:pos="9355"/>
      </w:tabs>
    </w:pPr>
  </w:style>
  <w:style w:type="paragraph" w:styleId="a5">
    <w:name w:val="footer"/>
    <w:basedOn w:val="a"/>
    <w:link w:val="a6"/>
    <w:uiPriority w:val="99"/>
    <w:rsid w:val="00745C8E"/>
    <w:pPr>
      <w:tabs>
        <w:tab w:val="center" w:pos="4677"/>
        <w:tab w:val="right" w:pos="9355"/>
      </w:tabs>
    </w:pPr>
  </w:style>
  <w:style w:type="character" w:customStyle="1" w:styleId="a4">
    <w:name w:val="Верхний колонтитул Знак"/>
    <w:link w:val="a3"/>
    <w:uiPriority w:val="99"/>
    <w:locked/>
    <w:rsid w:val="00745C8E"/>
    <w:rPr>
      <w:rFonts w:cs="Times New Roman"/>
      <w:sz w:val="24"/>
      <w:szCs w:val="24"/>
    </w:rPr>
  </w:style>
  <w:style w:type="paragraph" w:styleId="a7">
    <w:name w:val="List Paragraph"/>
    <w:basedOn w:val="a"/>
    <w:uiPriority w:val="99"/>
    <w:qFormat/>
    <w:rsid w:val="00557277"/>
    <w:pPr>
      <w:ind w:left="720"/>
      <w:contextualSpacing/>
    </w:pPr>
  </w:style>
  <w:style w:type="character" w:customStyle="1" w:styleId="a6">
    <w:name w:val="Нижний колонтитул Знак"/>
    <w:link w:val="a5"/>
    <w:uiPriority w:val="99"/>
    <w:locked/>
    <w:rsid w:val="00745C8E"/>
    <w:rPr>
      <w:rFonts w:cs="Times New Roman"/>
      <w:sz w:val="24"/>
      <w:szCs w:val="24"/>
    </w:rPr>
  </w:style>
  <w:style w:type="table" w:styleId="1">
    <w:name w:val="Table Grid 1"/>
    <w:basedOn w:val="a1"/>
    <w:uiPriority w:val="99"/>
    <w:rsid w:val="00D02E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OK</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Botanic</dc:creator>
  <cp:keywords/>
  <dc:description/>
  <cp:lastModifiedBy>admin</cp:lastModifiedBy>
  <cp:revision>2</cp:revision>
  <dcterms:created xsi:type="dcterms:W3CDTF">2014-03-01T13:21:00Z</dcterms:created>
  <dcterms:modified xsi:type="dcterms:W3CDTF">2014-03-01T13:21:00Z</dcterms:modified>
</cp:coreProperties>
</file>