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12" w:rsidRDefault="00C62412" w:rsidP="00071398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071398" w:rsidRDefault="00071398" w:rsidP="00071398">
      <w:pPr>
        <w:spacing w:before="100" w:beforeAutospacing="1" w:after="100" w:afterAutospacing="1"/>
        <w:ind w:left="720"/>
        <w:rPr>
          <w:sz w:val="28"/>
          <w:szCs w:val="28"/>
        </w:rPr>
      </w:pPr>
      <w:r w:rsidRPr="00071398">
        <w:rPr>
          <w:sz w:val="28"/>
          <w:szCs w:val="28"/>
        </w:rPr>
        <w:t>План работы:</w:t>
      </w:r>
    </w:p>
    <w:p w:rsidR="00071398" w:rsidRDefault="00071398" w:rsidP="0007139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Отраслевая структура экономики России и методы отраслевого экономического обоснования размещение производства</w:t>
      </w:r>
      <w:r w:rsidR="00070E22">
        <w:rPr>
          <w:sz w:val="28"/>
          <w:szCs w:val="28"/>
        </w:rPr>
        <w:t>……..3</w:t>
      </w:r>
    </w:p>
    <w:p w:rsidR="00071398" w:rsidRDefault="00071398" w:rsidP="0007139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Развитие и размещение сахарной промышленности России</w:t>
      </w:r>
      <w:r w:rsidR="00070E22">
        <w:rPr>
          <w:sz w:val="28"/>
          <w:szCs w:val="28"/>
        </w:rPr>
        <w:t>….5</w:t>
      </w:r>
    </w:p>
    <w:p w:rsidR="00071398" w:rsidRDefault="00071398" w:rsidP="0007139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Размещение и динамика посев картофеля, урожаи и валовые сборы</w:t>
      </w:r>
      <w:r w:rsidR="00070E22">
        <w:rPr>
          <w:sz w:val="28"/>
          <w:szCs w:val="28"/>
        </w:rPr>
        <w:t>……………………………………………………………..10</w:t>
      </w:r>
    </w:p>
    <w:p w:rsidR="00071398" w:rsidRDefault="00071398" w:rsidP="0007139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Размещение и динамика пчеловодства</w:t>
      </w:r>
      <w:r w:rsidR="00070E22">
        <w:rPr>
          <w:sz w:val="28"/>
          <w:szCs w:val="28"/>
        </w:rPr>
        <w:t>………………………...14</w:t>
      </w:r>
    </w:p>
    <w:p w:rsidR="00071398" w:rsidRPr="00071398" w:rsidRDefault="00071398" w:rsidP="00071398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t>Продуктивность</w:t>
      </w:r>
    </w:p>
    <w:p w:rsidR="00071398" w:rsidRPr="00071398" w:rsidRDefault="00071398" w:rsidP="00071398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t>Валовые сборы меда и других продуктов пчеловодства.</w:t>
      </w:r>
    </w:p>
    <w:p w:rsidR="0026456A" w:rsidRDefault="00071398" w:rsidP="0026456A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6456A" w:rsidRPr="0026456A">
        <w:rPr>
          <w:b/>
          <w:i/>
          <w:sz w:val="28"/>
          <w:szCs w:val="28"/>
        </w:rPr>
        <w:t>1.Отраслевая структура экономики России и методы отраслевого экономического обоснования размещение производства.</w:t>
      </w:r>
    </w:p>
    <w:p w:rsidR="0026456A" w:rsidRDefault="00FB103B" w:rsidP="00D509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Дело в том, что в сотрудничестве любой страны с мировым рынком важную роль играет сырьевой фактор. Суть проблемы состоит в том, что: во-первых, в течение какого периода может сохраняться преимущественно сырьевая специализация страны; во-вторых, как используются средства, зарабатываемые на продаже сырья; в-третьих, насколько интенсивно перерабатываются сырьевые избыточные факторы производства при их экспорте.</w:t>
      </w:r>
    </w:p>
    <w:p w:rsidR="00FB103B" w:rsidRDefault="00FB103B" w:rsidP="00D509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современной международной специализации России помимо нефти и газа становится </w:t>
      </w:r>
      <w:r w:rsidR="0083672B">
        <w:rPr>
          <w:sz w:val="28"/>
          <w:szCs w:val="28"/>
        </w:rPr>
        <w:t>характерной и продукция некоторых других отраслей промышленности, отличающихся, как правило, низкой технологичностью и экологичностью. В их числе – черная и цветная металлургия, базовая химия, целлюлозно-бумажная промышленность.</w:t>
      </w:r>
      <w:r w:rsidR="00EA29F8" w:rsidRPr="00EA29F8">
        <w:rPr>
          <w:sz w:val="28"/>
          <w:szCs w:val="28"/>
        </w:rPr>
        <w:t xml:space="preserve"> </w:t>
      </w:r>
      <w:r w:rsidR="00EA29F8">
        <w:rPr>
          <w:sz w:val="28"/>
          <w:szCs w:val="28"/>
        </w:rPr>
        <w:t>При этом стоимость экспорта неэкологичных отраслей промышленности выше, чем совокупная стоимость вывоза нефти и газа:</w:t>
      </w:r>
    </w:p>
    <w:p w:rsidR="00EA29F8" w:rsidRDefault="00EA29F8" w:rsidP="00EA29F8">
      <w:pPr>
        <w:spacing w:before="100" w:beforeAutospacing="1" w:after="100" w:afterAutospacing="1"/>
        <w:ind w:firstLine="708"/>
        <w:jc w:val="center"/>
        <w:rPr>
          <w:b/>
        </w:rPr>
      </w:pPr>
      <w:r w:rsidRPr="00EA29F8">
        <w:rPr>
          <w:b/>
        </w:rPr>
        <w:t>Тенденции экспортной специализации.</w:t>
      </w:r>
    </w:p>
    <w:p w:rsidR="00EA29F8" w:rsidRPr="00EA29F8" w:rsidRDefault="00377F51" w:rsidP="00EA29F8">
      <w:pPr>
        <w:spacing w:before="100" w:beforeAutospacing="1" w:after="100" w:afterAutospacing="1"/>
        <w:ind w:firstLine="708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69.25pt;height:105pt;visibility:visible">
            <v:imagedata r:id="rId7" o:title="" croptop="-5161f" cropbottom="-6727f" cropleft="-5487f" cropright="-5240f"/>
            <o:lock v:ext="edit" aspectratio="f"/>
          </v:shape>
        </w:pict>
      </w:r>
    </w:p>
    <w:p w:rsidR="00D509AE" w:rsidRDefault="00D509AE" w:rsidP="00D509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свидетельствуют специалисты, отход от малоэффективной ориентации на вывоз топливно-энергетического и иного сырья в пользу экологоемкой продукции представляет собой шаг назад или даже тупиковое направление в процессе интернационализации российской экономики. В этой связи особенно настораживает рост удельного веса металлургии в отраслевой структуре экспорта промышленной продукции.</w:t>
      </w:r>
    </w:p>
    <w:p w:rsidR="00D509AE" w:rsidRDefault="00D509AE" w:rsidP="00D509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Наглядное представление о структуре экспорта и импорта промышленной продукции дается в таб.:</w:t>
      </w:r>
    </w:p>
    <w:p w:rsidR="00D509AE" w:rsidRPr="00D509AE" w:rsidRDefault="00D509AE" w:rsidP="00D509AE">
      <w:pPr>
        <w:ind w:firstLine="709"/>
        <w:jc w:val="center"/>
        <w:rPr>
          <w:b/>
        </w:rPr>
      </w:pPr>
      <w:r w:rsidRPr="00D509AE">
        <w:rPr>
          <w:b/>
        </w:rPr>
        <w:t>Структура экспорта и импорта промышленной продукции</w:t>
      </w:r>
    </w:p>
    <w:p w:rsidR="00D509AE" w:rsidRPr="00D509AE" w:rsidRDefault="00D509AE" w:rsidP="00D509AE">
      <w:pPr>
        <w:ind w:firstLine="709"/>
        <w:jc w:val="center"/>
        <w:rPr>
          <w:b/>
        </w:rPr>
      </w:pPr>
      <w:r w:rsidRPr="00D509AE">
        <w:rPr>
          <w:b/>
        </w:rPr>
        <w:t>(% к итогу)</w:t>
      </w: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3"/>
        <w:gridCol w:w="857"/>
        <w:gridCol w:w="857"/>
        <w:gridCol w:w="857"/>
        <w:gridCol w:w="859"/>
        <w:gridCol w:w="857"/>
        <w:gridCol w:w="857"/>
        <w:gridCol w:w="857"/>
        <w:gridCol w:w="859"/>
      </w:tblGrid>
      <w:tr w:rsidR="00EA29F8" w:rsidRPr="007C2A95">
        <w:trPr>
          <w:trHeight w:val="81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 xml:space="preserve">Товарные </w:t>
            </w:r>
          </w:p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группы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Экспорт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Импорт</w:t>
            </w:r>
          </w:p>
        </w:tc>
      </w:tr>
      <w:tr w:rsidR="00EA29F8" w:rsidRPr="007C2A95">
        <w:trPr>
          <w:trHeight w:val="42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1990г.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1995г.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2000г.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2005г.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1990г.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1995г.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2000г.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2005г.</w:t>
            </w:r>
          </w:p>
        </w:tc>
      </w:tr>
      <w:tr w:rsidR="00EA29F8" w:rsidRPr="007C2A95">
        <w:trPr>
          <w:trHeight w:val="16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Продукция добывающей промышленности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41,5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41,7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3,6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5,8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2</w:t>
            </w:r>
          </w:p>
        </w:tc>
      </w:tr>
      <w:tr w:rsidR="00EA29F8" w:rsidRPr="007C2A95">
        <w:trPr>
          <w:trHeight w:val="16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Продукция обрабатывающей</w:t>
            </w:r>
          </w:p>
          <w:p w:rsidR="00EA29F8" w:rsidRPr="007C2A95" w:rsidRDefault="00EA29F8" w:rsidP="00926365">
            <w:pPr>
              <w:tabs>
                <w:tab w:val="left" w:pos="2985"/>
              </w:tabs>
            </w:pPr>
            <w:r w:rsidRPr="007C2A95">
              <w:t>промышленности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58,5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58,3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96,4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94,2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97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9F8" w:rsidRPr="007C2A95" w:rsidRDefault="00EA29F8" w:rsidP="00926365">
            <w:pPr>
              <w:tabs>
                <w:tab w:val="left" w:pos="2985"/>
              </w:tabs>
              <w:jc w:val="center"/>
            </w:pPr>
            <w:r w:rsidRPr="007C2A95">
              <w:t>98</w:t>
            </w:r>
          </w:p>
        </w:tc>
      </w:tr>
    </w:tbl>
    <w:p w:rsidR="00EA29F8" w:rsidRDefault="00EA29F8" w:rsidP="00EA29F8">
      <w:pPr>
        <w:tabs>
          <w:tab w:val="left" w:pos="2985"/>
        </w:tabs>
      </w:pPr>
      <w:r>
        <w:t>Источник: статистические материалы Министерства экономики и Министерства промышленности и торговли РФ.</w:t>
      </w:r>
    </w:p>
    <w:p w:rsidR="00EA29F8" w:rsidRDefault="00EA29F8" w:rsidP="00EA29F8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      Что касается участия России в МРТ со своей готовой продукцией, то пока перспективы малообнадеживают.</w:t>
      </w:r>
    </w:p>
    <w:p w:rsidR="00EA29F8" w:rsidRDefault="00EA29F8" w:rsidP="00096184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Магистральное направление мирохозяйственной стратегии России состоит в развитии наукоемкой готовой продукции (авиационное машиностроение, научные приборы и инструменты</w:t>
      </w:r>
      <w:r w:rsidR="00096184">
        <w:rPr>
          <w:sz w:val="28"/>
          <w:szCs w:val="28"/>
        </w:rPr>
        <w:t>, средства телекоммуникаций, некоторые виды химической продукции, фармацевтические товары</w:t>
      </w:r>
      <w:r>
        <w:rPr>
          <w:sz w:val="28"/>
          <w:szCs w:val="28"/>
        </w:rPr>
        <w:t>)</w:t>
      </w:r>
      <w:r w:rsidR="00096184">
        <w:rPr>
          <w:sz w:val="28"/>
          <w:szCs w:val="28"/>
        </w:rPr>
        <w:t>. Вся эта продукция имеет устойчивые и растущие рынки сбыта за рубежом.</w:t>
      </w:r>
    </w:p>
    <w:p w:rsidR="00096184" w:rsidRDefault="00096184" w:rsidP="00096184">
      <w:pPr>
        <w:tabs>
          <w:tab w:val="left" w:pos="2985"/>
        </w:tabs>
        <w:jc w:val="center"/>
        <w:rPr>
          <w:b/>
        </w:rPr>
      </w:pPr>
      <w:r>
        <w:rPr>
          <w:b/>
        </w:rPr>
        <w:t>Экспорт продукции обрабатывающей промышленности по данным 1995г.</w:t>
      </w:r>
    </w:p>
    <w:p w:rsidR="00096184" w:rsidRDefault="00096184" w:rsidP="00096184">
      <w:pPr>
        <w:tabs>
          <w:tab w:val="left" w:pos="2985"/>
        </w:tabs>
        <w:jc w:val="center"/>
        <w:rPr>
          <w:b/>
        </w:rPr>
      </w:pPr>
      <w:r>
        <w:rPr>
          <w:b/>
        </w:rPr>
        <w:t>(классификация по уровню технологичности)</w:t>
      </w:r>
    </w:p>
    <w:p w:rsidR="00096184" w:rsidRDefault="00377F51" w:rsidP="00096184">
      <w:pPr>
        <w:tabs>
          <w:tab w:val="left" w:pos="2985"/>
        </w:tabs>
        <w:jc w:val="center"/>
        <w:rPr>
          <w:noProof/>
        </w:rPr>
      </w:pPr>
      <w:r>
        <w:rPr>
          <w:noProof/>
        </w:rPr>
        <w:pict>
          <v:shape id="Диаграмма 2" o:spid="_x0000_i1026" type="#_x0000_t75" style="width:269.25pt;height:172.5pt;visibility:visible">
            <v:imagedata r:id="rId8" o:title=""/>
            <o:lock v:ext="edit" aspectratio="f"/>
          </v:shape>
        </w:pict>
      </w:r>
    </w:p>
    <w:p w:rsidR="00096184" w:rsidRDefault="00096184" w:rsidP="00096184">
      <w:pPr>
        <w:tabs>
          <w:tab w:val="left" w:pos="298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Помимо развития эффективного экспорта Россия должна идти по пути широкого развития международного внутриотраслевого кооперирования. Это вид МРТ открывает существенные возможности для включения в мировое производство различных отраслей российского машиностроения.</w:t>
      </w:r>
    </w:p>
    <w:p w:rsidR="00096184" w:rsidRPr="00096184" w:rsidRDefault="00096184" w:rsidP="00096184">
      <w:pPr>
        <w:tabs>
          <w:tab w:val="left" w:pos="2985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Указывая на объективную необходимость всемирного участия России в системе МРТ, следует помнить, что включение в этот процесс отнють не самоцель, а должно бать направленно на повышение эффективности народного хозяйства.</w:t>
      </w:r>
    </w:p>
    <w:p w:rsidR="00504B2F" w:rsidRPr="00CD0C26" w:rsidRDefault="00504B2F" w:rsidP="00504B2F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CD0C26">
        <w:rPr>
          <w:b/>
          <w:i/>
          <w:sz w:val="28"/>
          <w:szCs w:val="28"/>
        </w:rPr>
        <w:t>2.Развитие и размещение сахарной промышленности России.</w:t>
      </w:r>
    </w:p>
    <w:p w:rsidR="00504B2F" w:rsidRPr="00CD0C26" w:rsidRDefault="00377F51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s1026" type="#_x0000_t75" alt="http://geo.1september.ru/2005/14/21-1.jpg" style="position:absolute;left:0;text-align:left;margin-left:358.8pt;margin-top:0;width:225pt;height:144.75pt;z-index:251657728;visibility:visible;mso-wrap-distance-left:5.25pt;mso-wrap-distance-top:3.75pt;mso-wrap-distance-right:5.25pt;mso-wrap-distance-bottom:3.75pt;mso-position-horizontal:right;mso-position-vertical-relative:line" o:allowoverlap="f">
            <v:imagedata r:id="rId9" o:title="21-1"/>
            <w10:wrap type="square"/>
          </v:shape>
        </w:pict>
      </w:r>
      <w:r w:rsidR="00504B2F" w:rsidRPr="00CD0C26">
        <w:rPr>
          <w:sz w:val="28"/>
          <w:szCs w:val="28"/>
        </w:rPr>
        <w:t>С химической точки зрения сахаром можно назвать любое вещество из обширной группы водорастворимых углеводов. В быту же сахаром принято называть только обычный пищевой подсластитель — сахарозу, сладкое кристаллическое вещество, выделяемое главным образом из сока сахарного тростника или сахарной свёклы. В чистом (рафинированном) виде сахар белый, а кристаллы его бесцветны. Буроватая окраска некоторых его сортов объясняется примесью мелассы — сгущенного растительного сока, обволакивающего кристаллы.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Сахар — высококалорийная пища; его энергетическая ценность составляет около 400 ккал на 100 г. Он легко переваривается и легко усваивается организмом, то есть служит концентрированным и быстро мобилизуемым источником энергии.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 xml:space="preserve">Само слово «сахар» происходит от санскритского </w:t>
      </w:r>
      <w:r w:rsidRPr="00CD0C26">
        <w:rPr>
          <w:i/>
          <w:iCs/>
          <w:sz w:val="28"/>
          <w:szCs w:val="28"/>
        </w:rPr>
        <w:t>sarkara</w:t>
      </w:r>
      <w:r w:rsidRPr="00CD0C26">
        <w:rPr>
          <w:sz w:val="28"/>
          <w:szCs w:val="28"/>
        </w:rPr>
        <w:t xml:space="preserve"> (гравий, песок), спустя столетия этот термин вошел в арабский язык как </w:t>
      </w:r>
      <w:r w:rsidRPr="00CD0C26">
        <w:rPr>
          <w:i/>
          <w:iCs/>
          <w:sz w:val="28"/>
          <w:szCs w:val="28"/>
        </w:rPr>
        <w:t>sukkar</w:t>
      </w:r>
      <w:r w:rsidRPr="00CD0C26">
        <w:rPr>
          <w:sz w:val="28"/>
          <w:szCs w:val="28"/>
        </w:rPr>
        <w:t xml:space="preserve">, в средневековую латынь как </w:t>
      </w:r>
      <w:r w:rsidRPr="00CD0C26">
        <w:rPr>
          <w:i/>
          <w:iCs/>
          <w:sz w:val="28"/>
          <w:szCs w:val="28"/>
        </w:rPr>
        <w:t>succarum</w:t>
      </w:r>
      <w:r w:rsidRPr="00CD0C26">
        <w:rPr>
          <w:sz w:val="28"/>
          <w:szCs w:val="28"/>
        </w:rPr>
        <w:t>. Получение сахара из сахарного тростника было известно в глубокой древности. Возникновение сахарной промышленности в России относится к началу XVIII в., когда в Петербурге был построен первый сахарорафинадный завод, перерабатывавший привозной тростниковый сахар-сырец. Из сахарной свёклы сахар стали вырабатывать в России в начале XIX в.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Сахарная промышленность России номинально включает 96 заводов, из них в 2004 г. работали 84. На размещение предприятий сахарной промышленности решающее воздействие оказывает сырьевой фактор. Выход сахара-песка из свёклы в 2000 г. составил по весу в среднем 16%, этот показатель называется сахаристостью. Самая высокая сахаристость отмечается в Ульяновской обл. — 17,6%; в Воронежской обл. — 17,3; в Алтайском крае — 17,2%. Самая низкая — в Ставропольском крае — 13,6%, в Краснодарском крае — 14,4%. Как видно из приведенных цифр, для получения 1 т готовой продукции требуется не менее 6 т сырья. Cахарная свёкла быстро теряет в качестве при хранении и перевозках, поэтому сахарные заводы размещаются непосредственно у источников сырья.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7"/>
      </w:tblGrid>
      <w:tr w:rsidR="00504B2F" w:rsidRPr="00CD0C26">
        <w:trPr>
          <w:tblCellSpacing w:w="0" w:type="dxa"/>
        </w:trPr>
        <w:tc>
          <w:tcPr>
            <w:tcW w:w="0" w:type="auto"/>
            <w:vAlign w:val="center"/>
          </w:tcPr>
          <w:p w:rsidR="00504B2F" w:rsidRPr="00CD0C26" w:rsidRDefault="00377F51" w:rsidP="00070E2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" o:spid="_x0000_i1027" type="#_x0000_t75" alt="Воронежская обл. Калачеевский завод" style="width:225pt;height:111pt;visibility:visible">
                  <v:imagedata r:id="rId10" o:title="Воронежская обл"/>
                </v:shape>
              </w:pict>
            </w:r>
          </w:p>
        </w:tc>
      </w:tr>
      <w:tr w:rsidR="00504B2F" w:rsidRPr="00CD0C26">
        <w:trPr>
          <w:tblCellSpacing w:w="0" w:type="dxa"/>
        </w:trPr>
        <w:tc>
          <w:tcPr>
            <w:tcW w:w="0" w:type="auto"/>
            <w:vAlign w:val="center"/>
          </w:tcPr>
          <w:p w:rsidR="00504B2F" w:rsidRPr="00CD0C26" w:rsidRDefault="00504B2F" w:rsidP="00070E22">
            <w:pPr>
              <w:spacing w:before="100" w:beforeAutospacing="1" w:after="100" w:afterAutospacing="1"/>
              <w:jc w:val="both"/>
              <w:outlineLvl w:val="4"/>
              <w:rPr>
                <w:b/>
                <w:bCs/>
                <w:sz w:val="28"/>
                <w:szCs w:val="28"/>
              </w:rPr>
            </w:pPr>
            <w:r w:rsidRPr="00CD0C26">
              <w:rPr>
                <w:b/>
                <w:bCs/>
                <w:sz w:val="28"/>
                <w:szCs w:val="28"/>
              </w:rPr>
              <w:t>Воронежская обл. Калачеевский завод</w:t>
            </w:r>
          </w:p>
        </w:tc>
      </w:tr>
    </w:tbl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В число свеклосеющих входят всего около 20 регионов РФ, именно там размещены сахарные заводы. Явственно выделяются два пояса сахарной промышленности России: северный, проходящий через Центральное Черноземье и Поволжье до Предуралья (Башкирия), и южный, предкавказский (Краснодарский край и в меньшей степени Адыгея, Карачаево-Черкесия, Ставропольский край). Небольшой очаг свеклосеяния и производства сахара расположен на юге Западной Сибири (Алтайский край), на Дальнем Востоке (в Приморье) существует один сахарный завод; и он работает на импортном тростниковом сахаре-сырце. Лидер по производству сахара в нашей стране — Кубань, в первую пятерку входят Белгородская, Тамбовская, Воронежская и Липецкая области.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Традиционная для нашей страны сахароносная культура — сахарная свёкла. После уборки корнеплоды этого растения разрезаются на ломтики и вымачиваются в горячей воде. Содержащийся в них сахар (в каждом корнеплоде содержится примерно 14 чайных ложек сахарного песка) переходит в раствор, который затем выпаривают, в результате сахар начитает кристаллизоваться и получается кусковой сахар. При его измельчении получают сахаp-песок.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 xml:space="preserve">Сахарный тростник выращивается во влажном, теплом, преимущественно тропическом климате. Производство сахара из сахарного тростника имеет промежуточную фазу — сахар-сырец. Тростниковый сахар-сырец вполне пригоден к употреблению, но имеет примесь растительного сока и грязноватый цвет, поэтому его очищают и кристаллизуют для получения рафинированного сахара, или рафинада. На не слишком разборчивый вкус рафинированный тростниковый и свекловичный сахар практически неразличимы. 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В общих объемах производства сахарной промышленности России доля сахара, вырабатываемого из импортного сахара-сырца, в начале 2000-х годов достигала 75%. Россия активно закупает сахар-сырец у стран Латинской Америки. Главным поставщиком сахара-сырца выступает Бразилия (62% импорта в 2004 г.), второй по значению экспортер — Куба (31%), небольшие объемы продукта (по 3%) закупаются у Сальвадора и Гватемалы. Украина — прежняя база отечественной сахарной индустрии — из довольно крупного экспортера превратилась в импортера сахара. Украинские заводы с нерентабельным производством остались фактически без заказов, что привело к краху сахарной промышленности республики. В 2001 г. в порты России, СНГ и Прибалтики (в первую очередь, Новороссийск, Туапсе, Одессу, Петербург, Ригу, Вентспилс, Владивосток) для переработки на сахарных заводах России было завезено около 5,4 млн т тростникового сахара-сырца.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Рентабельность производства — острейшая проблема и для России. Уровень рентабельности получения сахара по свекловичной схеме упал с 47% (в среднем) за 1986—1990 гг. до 0,25% в 1997—2000 гг. Оптово-отпускная цена на сахар, выработанный на российских заводах из сахарной свёклы, не выдерживает конкуренции с ценой сахара из сырца, ввозимого по импорту.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Имеющиеся в России мощности позволяют переработать до 29 млн т сахарной свёклы и до 10 млн т сахара-сырца и произвести соответственно 3,6 млн т свекловичного и 9,6 млн т сырцового сахара. Фактическая загрузка мощностей имеющихся заводов в настоящее время не превышает 50%.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Основным потребителем сахара в нашей стране остается население (около 55%), примерно 30% выпущенной отраслью продукции потребляется пищевой промышленностью. Производство и потребление сахара носит сезонный характер. Свекловичный сахар в основном производится в сентябре—октябре после снятия урожая свёклы, сырцовый — в марте—июле. Пик потребления, как правило, приходится на июль, в пору массовых сельскохозяйственных заготовок.</w:t>
      </w:r>
    </w:p>
    <w:p w:rsidR="00504B2F" w:rsidRPr="00CD0C26" w:rsidRDefault="00504B2F" w:rsidP="00070E2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0C26">
        <w:rPr>
          <w:sz w:val="28"/>
          <w:szCs w:val="28"/>
        </w:rPr>
        <w:t>Поскольку сахар считается относительно вредным пищевым продуктом, то у людей с достаточными доходами есть желание сократить его потребление в своем рационе. Поэтому география его потребления все больше смещается в сторону бедных стран, к числу которых, к сожалению, следует отнести и Россию. Она является одним из лидеров по потреблению сахара на душу населения и крупнейшим мировым импортером.</w:t>
      </w:r>
    </w:p>
    <w:p w:rsidR="00504B2F" w:rsidRPr="006121AD" w:rsidRDefault="00504B2F" w:rsidP="00504B2F">
      <w:pPr>
        <w:tabs>
          <w:tab w:val="left" w:pos="8460"/>
        </w:tabs>
        <w:spacing w:before="100" w:beforeAutospacing="1" w:after="100" w:afterAutospacing="1"/>
        <w:outlineLvl w:val="3"/>
        <w:rPr>
          <w:b/>
          <w:bCs/>
        </w:rPr>
      </w:pPr>
      <w:r w:rsidRPr="006121AD">
        <w:rPr>
          <w:b/>
          <w:bCs/>
          <w:sz w:val="27"/>
          <w:szCs w:val="27"/>
        </w:rPr>
        <w:t xml:space="preserve">Производство сахара-песка в России </w:t>
      </w:r>
      <w:r w:rsidRPr="006121AD">
        <w:rPr>
          <w:b/>
          <w:bCs/>
          <w:i/>
          <w:iCs/>
          <w:sz w:val="27"/>
        </w:rPr>
        <w:t>тыс. т</w:t>
      </w:r>
      <w:r>
        <w:rPr>
          <w:b/>
          <w:bCs/>
          <w:i/>
          <w:iCs/>
          <w:sz w:val="27"/>
        </w:rPr>
        <w:tab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8"/>
        <w:gridCol w:w="722"/>
        <w:gridCol w:w="722"/>
        <w:gridCol w:w="722"/>
        <w:gridCol w:w="722"/>
        <w:gridCol w:w="722"/>
        <w:gridCol w:w="722"/>
      </w:tblGrid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  <w:rPr>
                <w:b/>
                <w:bCs/>
              </w:rPr>
            </w:pPr>
            <w:r w:rsidRPr="006121AD">
              <w:rPr>
                <w:rFonts w:ascii="Arial CYR" w:hAnsi="Arial CYR" w:cs="Arial CYR"/>
                <w:b/>
                <w:bCs/>
                <w:sz w:val="20"/>
                <w:szCs w:val="20"/>
              </w:rPr>
              <w:t>2002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Российская Федерация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3757,9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3155,4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4744,6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6076,6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6589,9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6165,4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1531,9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1420,0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2199,8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2664,4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2492,7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2777,4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Белгородская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443,5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801,7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952,8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888,7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998,2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Брянская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41,5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6,4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Воронежская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351,0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371,8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432,7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379,4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477,9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Kурская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298,2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253,7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115,0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220,3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178,9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248,0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Липецкая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163,6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156,3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304,9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428,1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327,5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442,9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Орловская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110,7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64,5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137,5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127,5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81,5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38,5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Рязанская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25,5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Тамбовская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106,7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177,8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426,5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445,1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595,5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548,1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Тульская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36,7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г. Москва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Южный федеральный округ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1706,2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1193,2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1681,2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2201,3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2727,0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2309,6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Республика Адыгея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91,5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39,4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72,3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125,9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127,0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49,8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Kарачаево-Черкесская Республика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50,4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34,3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83,7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61,6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Чеченская Республика</w:t>
            </w:r>
            <w:r w:rsidRPr="006121AD">
              <w:rPr>
                <w:rFonts w:ascii="Arial CYR" w:hAnsi="Arial CYR" w:cs="Arial CYR"/>
                <w:sz w:val="20"/>
                <w:szCs w:val="20"/>
              </w:rPr>
              <w:br/>
              <w:t>и Республика Ингушетия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...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...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...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Kраснодарский край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1466,5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1048,7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1513,7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1955,8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2408,0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2094,9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Ставропольский край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86,8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70,8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85,8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108,2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103,3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305,2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401,1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696,6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1063,7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1210,7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1030,3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119,1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110,3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251,8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293,8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341,8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309,7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Республика Мордовия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39,2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60,4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53,8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Республика Татарстан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61,6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122,5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90,7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153,6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163,2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93,7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Нижегородская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21,3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72,2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117,3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125,8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69,1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Пензенская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68,3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159,9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288,5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366,6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386,8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Самарская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Саратовская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—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Ульяновская обл.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29,4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42,3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97,5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163,7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150,3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117,3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Сибирский федеральный округ</w:t>
            </w:r>
            <w:r w:rsidRPr="006121AD">
              <w:rPr>
                <w:rFonts w:ascii="Arial CYR" w:hAnsi="Arial CYR" w:cs="Arial CYR"/>
                <w:sz w:val="20"/>
                <w:szCs w:val="20"/>
              </w:rPr>
              <w:br/>
              <w:t>(Алтайский край)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67,5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73,1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73,1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89,6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48,0</w:t>
            </w:r>
          </w:p>
        </w:tc>
      </w:tr>
      <w:tr w:rsidR="00504B2F" w:rsidRPr="006121AD">
        <w:trPr>
          <w:tblCellSpacing w:w="0" w:type="dxa"/>
          <w:jc w:val="center"/>
        </w:trPr>
        <w:tc>
          <w:tcPr>
            <w:tcW w:w="5235" w:type="dxa"/>
            <w:vAlign w:val="center"/>
          </w:tcPr>
          <w:p w:rsidR="00504B2F" w:rsidRPr="006121AD" w:rsidRDefault="00504B2F" w:rsidP="002332AD">
            <w:r w:rsidRPr="006121AD">
              <w:rPr>
                <w:rFonts w:ascii="Arial CYR" w:hAnsi="Arial CYR" w:cs="Arial CYR"/>
                <w:sz w:val="20"/>
                <w:szCs w:val="20"/>
              </w:rPr>
              <w:t>Дальневосточный федеральный округ</w:t>
            </w:r>
            <w:r w:rsidRPr="006121AD">
              <w:rPr>
                <w:rFonts w:ascii="Arial CYR" w:hAnsi="Arial CYR" w:cs="Arial CYR"/>
                <w:sz w:val="20"/>
                <w:szCs w:val="20"/>
              </w:rPr>
              <w:br/>
              <w:t>(Приморский край)</w:t>
            </w:r>
          </w:p>
        </w:tc>
        <w:tc>
          <w:tcPr>
            <w:tcW w:w="600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147,3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81,1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94,0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74,1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585" w:type="dxa"/>
            <w:vAlign w:val="center"/>
          </w:tcPr>
          <w:p w:rsidR="00504B2F" w:rsidRPr="006121AD" w:rsidRDefault="00504B2F" w:rsidP="002332AD">
            <w:pPr>
              <w:jc w:val="center"/>
            </w:pPr>
            <w:r w:rsidRPr="006121AD"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</w:tr>
    </w:tbl>
    <w:p w:rsidR="00504B2F" w:rsidRDefault="00504B2F" w:rsidP="00504B2F">
      <w:pPr>
        <w:spacing w:before="100" w:beforeAutospacing="1" w:after="100" w:afterAutospacing="1"/>
        <w:jc w:val="right"/>
        <w:rPr>
          <w:i/>
          <w:iCs/>
        </w:rPr>
      </w:pPr>
      <w:r w:rsidRPr="006121AD">
        <w:rPr>
          <w:i/>
          <w:iCs/>
        </w:rPr>
        <w:t>По данным Госкомстата РФ</w:t>
      </w:r>
    </w:p>
    <w:p w:rsidR="00CD0C26" w:rsidRPr="006121AD" w:rsidRDefault="00CD0C26" w:rsidP="00CD0C26">
      <w:pPr>
        <w:spacing w:before="100" w:beforeAutospacing="1" w:after="100" w:afterAutospacing="1"/>
      </w:pPr>
      <w:r>
        <w:tab/>
      </w:r>
      <w:hyperlink r:id="rId11" w:history="1">
        <w:r w:rsidRPr="006121AD">
          <w:rPr>
            <w:color w:val="0000FF"/>
            <w:u w:val="single"/>
          </w:rPr>
          <w:t>Сахарная промышленность России</w:t>
        </w:r>
      </w:hyperlink>
    </w:p>
    <w:p w:rsidR="00CD0C26" w:rsidRPr="006121AD" w:rsidRDefault="00CD0C26" w:rsidP="00CD0C26">
      <w:pPr>
        <w:tabs>
          <w:tab w:val="left" w:pos="630"/>
        </w:tabs>
        <w:spacing w:before="100" w:beforeAutospacing="1" w:after="100" w:afterAutospacing="1"/>
      </w:pPr>
    </w:p>
    <w:p w:rsidR="00504B2F" w:rsidRDefault="00377F51" w:rsidP="00504B2F">
      <w:pPr>
        <w:rPr>
          <w:lang w:val="en-US"/>
        </w:rPr>
      </w:pPr>
      <w:r>
        <w:rPr>
          <w:noProof/>
        </w:rPr>
        <w:pict>
          <v:shape id="Рисунок 3" o:spid="_x0000_i1028" type="#_x0000_t75" style="width:468pt;height:322.5pt;visibility:visible">
            <v:imagedata r:id="rId12" o:title=""/>
          </v:shape>
        </w:pict>
      </w:r>
    </w:p>
    <w:p w:rsidR="00504B2F" w:rsidRDefault="00504B2F" w:rsidP="00504B2F">
      <w:pPr>
        <w:rPr>
          <w:lang w:val="en-US"/>
        </w:rPr>
      </w:pPr>
    </w:p>
    <w:p w:rsidR="00CD0C26" w:rsidRPr="006121AD" w:rsidRDefault="00377F51" w:rsidP="00CD0C26">
      <w:pPr>
        <w:spacing w:before="100" w:beforeAutospacing="1" w:after="100" w:afterAutospacing="1"/>
      </w:pPr>
      <w:hyperlink r:id="rId13" w:history="1">
        <w:r w:rsidR="00CD0C26" w:rsidRPr="006121AD">
          <w:rPr>
            <w:color w:val="0000FF"/>
            <w:u w:val="single"/>
          </w:rPr>
          <w:t>Сахарные заводы России</w:t>
        </w:r>
      </w:hyperlink>
    </w:p>
    <w:p w:rsidR="00CD0C26" w:rsidRDefault="00377F51" w:rsidP="00CD0C26">
      <w:r>
        <w:rPr>
          <w:noProof/>
        </w:rPr>
        <w:pict>
          <v:shape id="Рисунок 6" o:spid="_x0000_i1029" type="#_x0000_t75" style="width:468pt;height:324pt;visibility:visible">
            <v:imagedata r:id="rId14" o:title=""/>
          </v:shape>
        </w:pict>
      </w:r>
    </w:p>
    <w:p w:rsidR="00CD0C26" w:rsidRDefault="00CD0C26" w:rsidP="00CD0C26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CD0C26">
        <w:rPr>
          <w:b/>
          <w:i/>
          <w:sz w:val="28"/>
          <w:szCs w:val="28"/>
        </w:rPr>
        <w:t>3.Размещение и динамика посев картофеля, урожаи и валовые сборы.</w:t>
      </w:r>
    </w:p>
    <w:p w:rsidR="00CD0C26" w:rsidRPr="00C56EB5" w:rsidRDefault="00CD0C26" w:rsidP="00070E2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C56EB5">
        <w:rPr>
          <w:b/>
          <w:bCs/>
          <w:color w:val="000000"/>
        </w:rPr>
        <w:t>По данным Росстата на начало текущего года переходящие запасы картофеля и овощей в сельхозорганизациях были выше относительно их величины на начало 2006 г. Достаточные запасы картофеля и овощей и устойчивый спрос на них обусловили высокие объемы предложения и темпы отгрузки потребителям. На увеличение объемов реализации картофеля и овощей в отчетный период повлиял рост их производства в сельхозорганизациях в 2006 г., отмечают в МСХ РФ.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В I полугодии 2007 г. уровень цен производителей на картофель и основные виды овощей и темпы их роста были ниже, чем в соответствующем периоде 2006 г.</w:t>
      </w:r>
      <w:r w:rsidRPr="00CD0C26">
        <w:rPr>
          <w:color w:val="000000"/>
          <w:sz w:val="28"/>
          <w:szCs w:val="28"/>
        </w:rPr>
        <w:tab/>
        <w:t>Потребительские цены в январе-апреле 2007 г. на картофель и овощи в основном были ниже прошлогодних, за исключением цен на лук репчатый.</w:t>
      </w:r>
      <w:r w:rsidRPr="00CD0C26">
        <w:rPr>
          <w:color w:val="000000"/>
          <w:sz w:val="28"/>
          <w:szCs w:val="28"/>
        </w:rPr>
        <w:tab/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В мае-июне существенно выросли цены на капусту белокочанную, что связано с уменьшением объемов предложения отечественной ранней капусты и повышением импортных цен на нее.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Темп роста потребительских цен на плодоовощную продукцию за январь-май был ниже прошлогоднего, а в июне вырос и составил 138,6% к декабрю предыдущего года, что можно объяснить прекращением действия сниженной ставки ввозной таможенной пошлины на некоторые овощи с 15% до 5%.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По данным Росстата в текущем году сохранилась тенденция сокращения посевных площадей под картофелем, которые уменьшились в основном в хозяйствах населения. За счет этой же категории хозяйств сократились посевные площади под овощами.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Следует отметить, что с учетом выявленных в ходе Всероссийской сельскохозяйственной переписи некоторых расхождений между данными о посевных площадях под картофелем и овощами в 2006 г. и ранее опубликованными, Росстатом будут пересчитаны динамические ряды за 1998-2007 гг.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Сокращение посевных площадей под картофелем в хозяйствах населения, являющихся основными его поставщиками, скорее всего, вызовет снижение его производства.</w:t>
      </w:r>
      <w:r w:rsidR="0026456A">
        <w:rPr>
          <w:color w:val="000000"/>
          <w:sz w:val="28"/>
          <w:szCs w:val="28"/>
        </w:rPr>
        <w:t xml:space="preserve"> </w:t>
      </w:r>
      <w:r w:rsidRPr="00CD0C26">
        <w:rPr>
          <w:color w:val="000000"/>
          <w:sz w:val="28"/>
          <w:szCs w:val="28"/>
        </w:rPr>
        <w:t>На урожайность картофеля и овощей в немалой степени повлияют и неблагоприятные погодные условия, установившиеся в ряде регионов в летний период. Учитывая это, уровень цен производителей на картофель и овощи во II полугодии, возможно, превысит прошлогодний.</w:t>
      </w:r>
    </w:p>
    <w:p w:rsidR="00CD0C26" w:rsidRPr="00CD0C26" w:rsidRDefault="00CD0C26" w:rsidP="00CD0C2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В 2007 г. продолжилось сокращение посевных площадей под картофелем.</w:t>
      </w:r>
    </w:p>
    <w:p w:rsidR="00CD0C26" w:rsidRPr="00CD0C26" w:rsidRDefault="00CD0C26" w:rsidP="00CD0C2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По данным Росстата, в 2007 г. посевные площади под картофелем продолжали сокращаться и составили 2806,3 тыс. га или 94,2% к предыдущему году. Наиболее существенно уменьшились площади в Приволжском федеральном округе - на 8,4%.</w:t>
      </w:r>
    </w:p>
    <w:p w:rsidR="00CD0C26" w:rsidRPr="00CD0C26" w:rsidRDefault="00CD0C26" w:rsidP="00CD0C2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Посевные площади под картофелем в хозяйствах всех категорий (тыс. га, данные весеннего учета):</w:t>
      </w:r>
    </w:p>
    <w:tbl>
      <w:tblPr>
        <w:tblW w:w="5644" w:type="dxa"/>
        <w:tblCellSpacing w:w="7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683"/>
        <w:gridCol w:w="683"/>
        <w:gridCol w:w="683"/>
        <w:gridCol w:w="683"/>
        <w:gridCol w:w="683"/>
        <w:gridCol w:w="1495"/>
      </w:tblGrid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2003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2004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 xml:space="preserve">2005 г.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2006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2007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2007 г. в % к 2006 г.</w:t>
            </w:r>
          </w:p>
        </w:tc>
      </w:tr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РФ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3147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3077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2980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2806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94,2</w:t>
            </w:r>
          </w:p>
        </w:tc>
      </w:tr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ЦФО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886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95,2</w:t>
            </w:r>
          </w:p>
        </w:tc>
      </w:tr>
      <w:tr w:rsidR="009262C8" w:rsidRPr="00C56EB5">
        <w:trPr>
          <w:trHeight w:val="149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СЗФО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92,4</w:t>
            </w:r>
          </w:p>
        </w:tc>
      </w:tr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ЮФО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305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96,2</w:t>
            </w:r>
          </w:p>
        </w:tc>
      </w:tr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ПФО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807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801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768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717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657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91,6</w:t>
            </w:r>
          </w:p>
        </w:tc>
      </w:tr>
      <w:tr w:rsidR="009262C8" w:rsidRPr="00C56EB5">
        <w:trPr>
          <w:trHeight w:val="149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УрФО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92,7</w:t>
            </w:r>
          </w:p>
        </w:tc>
      </w:tr>
      <w:tr w:rsidR="009262C8" w:rsidRPr="00C56EB5">
        <w:trPr>
          <w:trHeight w:val="1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СФО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507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505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484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460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95,1</w:t>
            </w:r>
          </w:p>
        </w:tc>
      </w:tr>
      <w:tr w:rsidR="009262C8" w:rsidRPr="00C56EB5">
        <w:trPr>
          <w:trHeight w:val="149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ДФО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C26" w:rsidRPr="00C56EB5" w:rsidRDefault="00CD0C26" w:rsidP="002332AD">
            <w:pPr>
              <w:spacing w:before="100" w:beforeAutospacing="1" w:after="100" w:afterAutospacing="1"/>
            </w:pPr>
            <w:r w:rsidRPr="00C56EB5">
              <w:t>97,3</w:t>
            </w:r>
          </w:p>
        </w:tc>
      </w:tr>
    </w:tbl>
    <w:p w:rsidR="00CD0C26" w:rsidRPr="009262C8" w:rsidRDefault="00CD0C26" w:rsidP="00CD0C26">
      <w:pPr>
        <w:spacing w:before="100" w:beforeAutospacing="1" w:after="100" w:afterAutospacing="1"/>
        <w:rPr>
          <w:color w:val="000000"/>
        </w:rPr>
      </w:pPr>
      <w:r w:rsidRPr="009262C8">
        <w:rPr>
          <w:color w:val="000000"/>
        </w:rPr>
        <w:t>Сокращение площадей во всех федеральных округах произошло за счет уменьшения посевов в хозяйствах населения, которые заняли под урожай 2562,8 тыс. га или 93% к уровню 2006 г. Доля этой категории хозяйств в посевных площадях под картофелем несколько снизилась и составила 91,3% против 92,4% в 2006 г.</w:t>
      </w:r>
    </w:p>
    <w:p w:rsidR="00CD0C26" w:rsidRPr="00C56EB5" w:rsidRDefault="00377F51" w:rsidP="00CD0C26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pict>
          <v:shape id="_x0000_i1030" type="#_x0000_t75" alt="http://www.k-vedomosti.ru/images/2007/9_11_4.jpg" style="width:336.75pt;height:187.5pt;visibility:visible">
            <v:imagedata r:id="rId15" o:title="9_11_4"/>
          </v:shape>
        </w:pict>
      </w:r>
    </w:p>
    <w:p w:rsidR="00CD0C26" w:rsidRPr="009262C8" w:rsidRDefault="00CD0C26" w:rsidP="00CD0C26">
      <w:pPr>
        <w:spacing w:before="100" w:beforeAutospacing="1" w:after="100" w:afterAutospacing="1"/>
        <w:rPr>
          <w:color w:val="000000"/>
        </w:rPr>
      </w:pPr>
      <w:r w:rsidRPr="009262C8">
        <w:rPr>
          <w:color w:val="000000"/>
        </w:rPr>
        <w:t>Фермерские (крестьянские) хозяйства расширили посевы на 14,8%. Доля этой категории хозяйств в структуре посевных площадей под картофелем увеличилась с 2,4% в 2006 г. до 3% в 2007 г.</w:t>
      </w:r>
    </w:p>
    <w:p w:rsidR="00CD0C26" w:rsidRPr="009262C8" w:rsidRDefault="00CD0C26" w:rsidP="00CD0C26">
      <w:pPr>
        <w:spacing w:before="100" w:beforeAutospacing="1" w:after="100" w:afterAutospacing="1"/>
        <w:ind w:firstLine="708"/>
        <w:rPr>
          <w:color w:val="000000"/>
        </w:rPr>
      </w:pPr>
      <w:r w:rsidRPr="009262C8">
        <w:rPr>
          <w:color w:val="000000"/>
        </w:rPr>
        <w:t>В сельскохозяйственных организациях посевные площади также увеличились: в 2007 г. под урожай занято 160,6 тыс. га (в 2006 г. - 153,6 тыс. га), их доля в структуре посевных площадей увеличилась незначительно (с 5,2% до 5,7%).</w:t>
      </w:r>
    </w:p>
    <w:p w:rsidR="00CD0C26" w:rsidRPr="00CD0C26" w:rsidRDefault="00CD0C26" w:rsidP="00070E22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Низкая обеспеченность сельхозпредприятий техникой остается одной из важных проблем сельского хозяйства. По данным Росстата в 2006 г. на 1000 га пашни приходилось 28,1% картофелеуборочных комбайнов, или 87% к 2005 г. и 50% к 1995 г. В количественном выражении наличие техники в сельскохозяйственных предприятиях также сократилось (в 2006 г. число картофелеуборочных комбайнов уменьшилось на 11% по сравнению с 2005 г. и на 60% к 2000 г.). В 2006 г. сельскохозяйственные организации приобрели 234 картофелеуборочных комбайна, а списали по износу - 601.</w:t>
      </w:r>
    </w:p>
    <w:p w:rsidR="00CD0C26" w:rsidRPr="00CD0C26" w:rsidRDefault="00CD0C26" w:rsidP="00070E22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В I квартале 2007 г. сельхозорганизации отгрузили 257,5 тыс. т картофеля, что на 47,4% больше соответствующего периода 2006 г. На начало II квартала 2007 г. запасы картофеля на 19% были выше прошлогоднего уровня, что позволило сохранить высокие темпы отгрузки потребителям. За апрель-июнь 2007 г. реализовано 204 тыс. т картофеля, или на 47% больше, чем за этот же период 2006 г.</w:t>
      </w:r>
    </w:p>
    <w:p w:rsidR="00CD0C26" w:rsidRPr="00CD0C26" w:rsidRDefault="00CD0C26" w:rsidP="00070E2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D0C26">
        <w:rPr>
          <w:color w:val="000000"/>
          <w:sz w:val="28"/>
          <w:szCs w:val="28"/>
        </w:rPr>
        <w:t>Всего за январь-июнь 2007 г. сельхозпредприятия отгрузили потребителям 461,5 тыс. т картофеля или на 47% больше, чем в I полугодии 2006 г.</w:t>
      </w:r>
    </w:p>
    <w:p w:rsidR="00CD0C26" w:rsidRPr="00C56EB5" w:rsidRDefault="00377F51" w:rsidP="00CD0C26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pict>
          <v:shape id="Рисунок 2" o:spid="_x0000_i1031" type="#_x0000_t75" alt="http://www.k-vedomosti.ru/images/2007/9_11_5.jpg" style="width:445.5pt;height:207pt;visibility:visible">
            <v:imagedata r:id="rId16" o:title="9_11_5"/>
          </v:shape>
        </w:pict>
      </w:r>
    </w:p>
    <w:p w:rsidR="00CD0C26" w:rsidRPr="009262C8" w:rsidRDefault="00CD0C26" w:rsidP="00CD0C26">
      <w:pPr>
        <w:spacing w:before="100" w:beforeAutospacing="1" w:after="100" w:afterAutospacing="1"/>
        <w:ind w:firstLine="708"/>
        <w:rPr>
          <w:color w:val="000000"/>
        </w:rPr>
      </w:pPr>
      <w:r w:rsidRPr="009262C8">
        <w:rPr>
          <w:color w:val="000000"/>
        </w:rPr>
        <w:t>Структура производства картофеля по категориям хозяйств изменилась незначительно. В 2006 г. доля сельхозорганизаций в производстве картофеля несколько увеличилась и составила 7% (в 2005 г. 6,3%), в то же время доля населения снизилась, составив 90% (в 2005 г. 91,6%). Основными поставщиками картофеля являются хозяйства населения, доля которых в его реализации составляет от 70% до 75%.</w:t>
      </w:r>
    </w:p>
    <w:p w:rsidR="009262C8" w:rsidRPr="009262C8" w:rsidRDefault="009262C8" w:rsidP="009262C8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9262C8">
        <w:rPr>
          <w:color w:val="000000"/>
          <w:sz w:val="28"/>
          <w:szCs w:val="28"/>
        </w:rPr>
        <w:t>Уровень цен производителей на картофель был ниже, чем в прошлом году.</w:t>
      </w:r>
    </w:p>
    <w:p w:rsidR="009262C8" w:rsidRPr="009262C8" w:rsidRDefault="009262C8" w:rsidP="00070E2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262C8">
        <w:rPr>
          <w:color w:val="000000"/>
          <w:sz w:val="28"/>
          <w:szCs w:val="28"/>
        </w:rPr>
        <w:t>Высокие объемы предложения картофеля в первом полугодии т.г. обусловили более низкий, чем в предыдущем году уровень цен на него, чем в этом же периоде 2006 г.</w:t>
      </w:r>
    </w:p>
    <w:p w:rsidR="009262C8" w:rsidRPr="00C56EB5" w:rsidRDefault="00377F51" w:rsidP="009262C8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pict>
          <v:shape id="Рисунок 4" o:spid="_x0000_i1032" type="#_x0000_t75" alt="http://www.k-vedomosti.ru/images/2007/9_11_7.jpg" style="width:453pt;height:156.75pt;visibility:visible">
            <v:imagedata r:id="rId17" o:title="9_11_7"/>
          </v:shape>
        </w:pic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Лишь в январе 2007 г. цена производителей на картофель была выше, чем в январе 2006 г. (5743 руб/т и 5532 руб/т соответственно).</w: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В целом за январь-июнь средняя цена реализации картофеля составила 6269 руб/т против 6757 руб/т в аналогичном периоде 2006 г., что меньше на 7,2%.</w: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Динамика изменения цен в основном соответствовала динамике цен в предыдущем году, однако темпы роста были значительно ниже.</w: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По данным Росстата запасы картофеля в организациях розничной торговли на 1 января текущего года составили 110% к соответствующему уровню 2006 г., на 1 апреля - 120,7% соответственно. Увеличение объемов предложения повлияло на уровень цен на него, который был ниже, чем в предыдущем году.</w:t>
      </w:r>
    </w:p>
    <w:p w:rsidR="009262C8" w:rsidRPr="00C56EB5" w:rsidRDefault="00377F51" w:rsidP="009262C8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pict>
          <v:shape id="Рисунок 7" o:spid="_x0000_i1033" type="#_x0000_t75" alt="http://www.k-vedomosti.ru/images/2007/9_11_10.jpg" style="width:447pt;height:164.25pt;visibility:visible">
            <v:imagedata r:id="rId18" o:title="9_11_10"/>
          </v:shape>
        </w:pic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В течение практически всего полугодия 2007 г. ценовая ситуация на потребительском рынке отличалась незначительным повышением цен на картофель. В июне с поступлением на рынок картофеля ранних сортов наблюдалось существенное повышение, и его цена составила 15,53 руб/кг против 14,87 руб/кг в 2006 г.</w:t>
      </w:r>
    </w:p>
    <w:p w:rsidR="009262C8" w:rsidRPr="00C56EB5" w:rsidRDefault="009262C8" w:rsidP="009262C8">
      <w:pPr>
        <w:spacing w:before="100" w:beforeAutospacing="1" w:after="100" w:afterAutospacing="1"/>
        <w:rPr>
          <w:color w:val="000000"/>
        </w:rPr>
      </w:pPr>
      <w:r w:rsidRPr="00C56EB5">
        <w:rPr>
          <w:color w:val="000000"/>
        </w:rPr>
        <w:t>За весь рассматриваемый период потребительские цены на картофель выросли на 41,2%, тогда как в соответствующем периоде предыдущего года - на 52,2%.</w:t>
      </w:r>
    </w:p>
    <w:p w:rsidR="009262C8" w:rsidRDefault="009262C8" w:rsidP="009262C8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262C8">
        <w:rPr>
          <w:b/>
          <w:i/>
          <w:sz w:val="28"/>
          <w:szCs w:val="28"/>
        </w:rPr>
        <w:t>4.Размещение и динамика пчеловодства.</w:t>
      </w:r>
    </w:p>
    <w:p w:rsidR="009262C8" w:rsidRPr="009262C8" w:rsidRDefault="009262C8" w:rsidP="009262C8">
      <w:pPr>
        <w:spacing w:before="100" w:beforeAutospacing="1" w:after="100" w:afterAutospacing="1"/>
        <w:ind w:firstLine="708"/>
        <w:rPr>
          <w:b/>
        </w:rPr>
      </w:pPr>
      <w:r w:rsidRPr="009262C8">
        <w:rPr>
          <w:b/>
        </w:rPr>
        <w:t>Лесное хозяйство вносит посильный вклад в развитие пчеловодства. В качестве подсобных сельских хозяйств  в лесхозах создаются пасеки, продукция которых используется, прежде всего, для нужд работников лесного хозяйства и в общественном питании; при этом, одновременно, обеспечивается оказание помощи аграрному сектору в повышении урожайности сельскохозяйственных культур путем опыления полей и садов.</w:t>
      </w:r>
    </w:p>
    <w:p w:rsidR="009262C8" w:rsidRPr="009262C8" w:rsidRDefault="009262C8" w:rsidP="009262C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9262C8">
        <w:rPr>
          <w:sz w:val="28"/>
          <w:szCs w:val="28"/>
        </w:rPr>
        <w:t xml:space="preserve">Наиболее активно пчеловодство в лесхозах развивалось в 60-80-х годах прошлого столетия. Однако в последние годы пчеловодство в лесном хозяйстве переживает в своем развитии определенный спад. </w:t>
      </w:r>
    </w:p>
    <w:p w:rsidR="009262C8" w:rsidRPr="009262C8" w:rsidRDefault="009262C8" w:rsidP="009262C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9262C8">
        <w:rPr>
          <w:sz w:val="28"/>
          <w:szCs w:val="28"/>
        </w:rPr>
        <w:t>В таблице 1 показана динамика численности пчелосемей и производства товарного меда в  подсобных хозяйствах лесхозов с  1966 года по настоящее время.</w:t>
      </w:r>
    </w:p>
    <w:p w:rsidR="009262C8" w:rsidRPr="009262C8" w:rsidRDefault="009262C8" w:rsidP="00405AB2">
      <w:pPr>
        <w:spacing w:before="100" w:beforeAutospacing="1" w:after="100" w:afterAutospacing="1"/>
        <w:ind w:firstLine="720"/>
        <w:jc w:val="center"/>
      </w:pPr>
      <w:r w:rsidRPr="009262C8">
        <w:rPr>
          <w:b/>
        </w:rPr>
        <w:t>Таблица 1 - Динамика среднегодовой численности пчелосемей и производства товарного меда в подсобных хозяйствах лесхозов Российской Федерации (1966-2003 годы)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00"/>
        <w:gridCol w:w="2577"/>
        <w:gridCol w:w="2177"/>
      </w:tblGrid>
      <w:tr w:rsidR="009262C8" w:rsidRPr="009262C8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Годы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Количество пчелосемей, шт.</w:t>
            </w:r>
          </w:p>
        </w:tc>
        <w:tc>
          <w:tcPr>
            <w:tcW w:w="4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Производство товарного меда</w:t>
            </w:r>
          </w:p>
        </w:tc>
      </w:tr>
      <w:tr w:rsidR="009262C8" w:rsidRPr="009262C8">
        <w:trPr>
          <w:cantSplit/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C8" w:rsidRPr="009262C8" w:rsidRDefault="009262C8" w:rsidP="002332A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62C8" w:rsidRPr="009262C8" w:rsidRDefault="009262C8" w:rsidP="002332AD">
            <w:pPr>
              <w:rPr>
                <w:b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Всего, 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В т.ч. на одну пчелосемью, кг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1966-1970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75136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396,3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5,3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1971-1975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94016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7,7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1976-1980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82079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723,3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8,8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1981-1985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70226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684,7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9,7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1986-1990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63155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590,3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9,3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1991-1995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45259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309,6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6,8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1996-2000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29557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218,4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7,4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25169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223,4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8,9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24086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163,2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6,8</w:t>
            </w:r>
          </w:p>
        </w:tc>
      </w:tr>
      <w:tr w:rsidR="009262C8" w:rsidRPr="009262C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21103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154,5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9262C8" w:rsidRDefault="009262C8" w:rsidP="002332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262C8">
              <w:rPr>
                <w:b/>
              </w:rPr>
              <w:t>7,3</w:t>
            </w:r>
          </w:p>
        </w:tc>
      </w:tr>
    </w:tbl>
    <w:p w:rsidR="009262C8" w:rsidRPr="003E2347" w:rsidRDefault="009262C8" w:rsidP="009262C8">
      <w:pPr>
        <w:spacing w:before="100" w:beforeAutospacing="1" w:after="100" w:afterAutospacing="1"/>
      </w:pPr>
      <w:r w:rsidRPr="003E2347">
        <w:t> </w:t>
      </w:r>
    </w:p>
    <w:p w:rsidR="009262C8" w:rsidRPr="009262C8" w:rsidRDefault="009262C8" w:rsidP="009262C8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262C8">
        <w:rPr>
          <w:sz w:val="28"/>
          <w:szCs w:val="28"/>
        </w:rPr>
        <w:t>Основными причинами такого спада являются: слабая работа по воспроизводству численности пчелосемей; несвоевременное и некачественное принятие мер по борьбе с болезнями пчел, прежде всего с варроатозом; снижение уровня профессиональной подготовки кадров; медленная перестройка организационных форм ведения пчеловодства; убыточность реализации товарной продукции.</w:t>
      </w:r>
    </w:p>
    <w:p w:rsidR="009262C8" w:rsidRPr="00405AB2" w:rsidRDefault="009262C8" w:rsidP="00405AB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05AB2">
        <w:rPr>
          <w:sz w:val="28"/>
          <w:szCs w:val="28"/>
        </w:rPr>
        <w:t>С учетом природно-исторических факторов наблюдаются значительные различия в интенсивности организации и ведения пчеловодства в лесхозах по регионам Российской Федерации. Наибольшего развития пчеловодство достигло в лесхозах Приволжского федерального округа. Здесь размещается 62 % всех пчелосемей лесхозов Российской Федерации и производится 68 % всего товарного меда. В данном федеральном округе наблюдается и относительно высокая продуктивность одной пчелосемьи. Более подробные сведения о развитии пчеловодства в Приволжском федеральном округе за последние три года приводятся в таблице 2.</w:t>
      </w:r>
      <w:r w:rsidRPr="003E2347">
        <w:t> </w:t>
      </w:r>
    </w:p>
    <w:p w:rsidR="009262C8" w:rsidRPr="00405AB2" w:rsidRDefault="009262C8" w:rsidP="00405AB2">
      <w:pPr>
        <w:spacing w:before="100" w:beforeAutospacing="1" w:after="100" w:afterAutospacing="1"/>
        <w:ind w:firstLine="720"/>
        <w:jc w:val="center"/>
        <w:rPr>
          <w:b/>
        </w:rPr>
      </w:pPr>
      <w:r w:rsidRPr="00405AB2">
        <w:rPr>
          <w:b/>
        </w:rPr>
        <w:t>Таблица 2 - Численность пчелосемей и объем производства товарного меда в лесхозах ряда субъектов Приволжского федерального округа в 2001-2003 годы</w:t>
      </w:r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161"/>
        <w:gridCol w:w="1267"/>
        <w:gridCol w:w="1126"/>
        <w:gridCol w:w="1267"/>
        <w:gridCol w:w="1126"/>
        <w:gridCol w:w="1266"/>
      </w:tblGrid>
      <w:tr w:rsidR="009262C8" w:rsidRPr="003E2347">
        <w:trPr>
          <w:cantSplit/>
          <w:trHeight w:val="278"/>
        </w:trPr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Субъект РФ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2001 год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2002 год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2003 год</w:t>
            </w:r>
          </w:p>
        </w:tc>
      </w:tr>
      <w:tr w:rsidR="009262C8" w:rsidRPr="003E2347">
        <w:trPr>
          <w:cantSplit/>
          <w:trHeight w:val="1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C8" w:rsidRPr="003E2347" w:rsidRDefault="009262C8" w:rsidP="002332AD"/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Числ.</w:t>
            </w:r>
          </w:p>
          <w:p w:rsidR="009262C8" w:rsidRPr="003E2347" w:rsidRDefault="009262C8" w:rsidP="005C372A">
            <w:r w:rsidRPr="003E2347">
              <w:t>пчело-семей,</w:t>
            </w:r>
          </w:p>
          <w:p w:rsidR="009262C8" w:rsidRPr="003E2347" w:rsidRDefault="009262C8" w:rsidP="005C372A">
            <w:r w:rsidRPr="003E2347">
              <w:t>шт.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Про-изво-</w:t>
            </w:r>
          </w:p>
          <w:p w:rsidR="009262C8" w:rsidRPr="003E2347" w:rsidRDefault="009262C8" w:rsidP="005C372A">
            <w:r w:rsidRPr="003E2347">
              <w:t>дство</w:t>
            </w:r>
          </w:p>
          <w:p w:rsidR="009262C8" w:rsidRPr="003E2347" w:rsidRDefault="009262C8" w:rsidP="005C372A">
            <w:r w:rsidRPr="003E2347">
              <w:t>товар-ного</w:t>
            </w:r>
          </w:p>
          <w:p w:rsidR="009262C8" w:rsidRPr="003E2347" w:rsidRDefault="009262C8" w:rsidP="005C372A">
            <w:r w:rsidRPr="003E2347">
              <w:t>меда, 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Числ.</w:t>
            </w:r>
          </w:p>
          <w:p w:rsidR="009262C8" w:rsidRPr="003E2347" w:rsidRDefault="009262C8" w:rsidP="005C372A">
            <w:r w:rsidRPr="003E2347">
              <w:t>пчело-семей,</w:t>
            </w:r>
          </w:p>
          <w:p w:rsidR="009262C8" w:rsidRPr="003E2347" w:rsidRDefault="009262C8" w:rsidP="005C372A">
            <w:r w:rsidRPr="003E2347">
              <w:t>шт.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Про-изво-</w:t>
            </w:r>
          </w:p>
          <w:p w:rsidR="009262C8" w:rsidRPr="003E2347" w:rsidRDefault="009262C8" w:rsidP="005C372A">
            <w:r w:rsidRPr="003E2347">
              <w:t>дство</w:t>
            </w:r>
          </w:p>
          <w:p w:rsidR="009262C8" w:rsidRPr="003E2347" w:rsidRDefault="009262C8" w:rsidP="005C372A">
            <w:r w:rsidRPr="003E2347">
              <w:t>товар-ного</w:t>
            </w:r>
          </w:p>
          <w:p w:rsidR="009262C8" w:rsidRPr="003E2347" w:rsidRDefault="009262C8" w:rsidP="005C372A">
            <w:r w:rsidRPr="003E2347">
              <w:t>меда, 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Числ.</w:t>
            </w:r>
          </w:p>
          <w:p w:rsidR="009262C8" w:rsidRPr="003E2347" w:rsidRDefault="009262C8" w:rsidP="005C372A">
            <w:r w:rsidRPr="003E2347">
              <w:t>пчело-семей,</w:t>
            </w:r>
          </w:p>
          <w:p w:rsidR="009262C8" w:rsidRPr="003E2347" w:rsidRDefault="009262C8" w:rsidP="005C372A">
            <w:r w:rsidRPr="003E2347"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5C372A">
            <w:r w:rsidRPr="003E2347">
              <w:t>Про-изво-</w:t>
            </w:r>
          </w:p>
          <w:p w:rsidR="009262C8" w:rsidRPr="003E2347" w:rsidRDefault="009262C8" w:rsidP="005C372A">
            <w:r w:rsidRPr="003E2347">
              <w:t>дство</w:t>
            </w:r>
          </w:p>
          <w:p w:rsidR="009262C8" w:rsidRPr="003E2347" w:rsidRDefault="009262C8" w:rsidP="005C372A">
            <w:r w:rsidRPr="003E2347">
              <w:t>товар-ного</w:t>
            </w:r>
          </w:p>
          <w:p w:rsidR="009262C8" w:rsidRPr="003E2347" w:rsidRDefault="009262C8" w:rsidP="005C372A">
            <w:r w:rsidRPr="003E2347">
              <w:t>меда, т</w:t>
            </w:r>
          </w:p>
        </w:tc>
      </w:tr>
      <w:tr w:rsidR="009262C8" w:rsidRPr="003E2347">
        <w:trPr>
          <w:trHeight w:val="542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Республика Татарстан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4468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36,2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4800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4662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30</w:t>
            </w:r>
          </w:p>
        </w:tc>
      </w:tr>
      <w:tr w:rsidR="009262C8" w:rsidRPr="003E2347">
        <w:trPr>
          <w:trHeight w:val="542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Республика Башкортостан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3493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1667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2390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17,8</w:t>
            </w:r>
          </w:p>
        </w:tc>
      </w:tr>
      <w:tr w:rsidR="009262C8" w:rsidRPr="003E2347">
        <w:trPr>
          <w:trHeight w:val="556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Чувашская Республика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1052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968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7,8</w:t>
            </w:r>
          </w:p>
        </w:tc>
      </w:tr>
      <w:tr w:rsidR="009262C8" w:rsidRPr="003E2347">
        <w:trPr>
          <w:trHeight w:val="542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Саратовская область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649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7,5</w:t>
            </w:r>
          </w:p>
        </w:tc>
      </w:tr>
      <w:tr w:rsidR="009262C8" w:rsidRPr="003E2347">
        <w:trPr>
          <w:trHeight w:val="542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Самарская область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</w:t>
            </w:r>
          </w:p>
        </w:tc>
      </w:tr>
      <w:tr w:rsidR="009262C8" w:rsidRPr="003E2347">
        <w:trPr>
          <w:trHeight w:val="542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Пензенская область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1131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1002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8" w:rsidRPr="003E2347" w:rsidRDefault="009262C8" w:rsidP="002332AD">
            <w:pPr>
              <w:spacing w:before="100" w:beforeAutospacing="1" w:after="100" w:afterAutospacing="1"/>
            </w:pPr>
            <w:r w:rsidRPr="003E2347">
              <w:t>6,6</w:t>
            </w:r>
          </w:p>
        </w:tc>
      </w:tr>
    </w:tbl>
    <w:p w:rsidR="009262C8" w:rsidRPr="003E2347" w:rsidRDefault="009262C8" w:rsidP="009262C8">
      <w:pPr>
        <w:spacing w:before="100" w:beforeAutospacing="1" w:after="100" w:afterAutospacing="1"/>
        <w:jc w:val="both"/>
      </w:pPr>
      <w:r w:rsidRPr="003E2347">
        <w:t> </w:t>
      </w:r>
    </w:p>
    <w:p w:rsidR="00405AB2" w:rsidRDefault="009262C8" w:rsidP="00405AB2">
      <w:pPr>
        <w:pStyle w:val="a5"/>
        <w:rPr>
          <w:sz w:val="28"/>
          <w:szCs w:val="28"/>
        </w:rPr>
      </w:pPr>
      <w:r w:rsidRPr="00405AB2">
        <w:rPr>
          <w:sz w:val="28"/>
          <w:szCs w:val="28"/>
        </w:rPr>
        <w:t xml:space="preserve">Как видно, наибольшее развитие пчеловодство получило в лесхозах республик Татарстан и Башкортостан. Пчеловодство здесь развивается на базе превосходной естественной медоносной растительности, и прежде всего липняков, обеспечивающей не только количество, но и качество меда, и благодаря ответственному отношению к делу руководства органов управления лесным хозяйством, и прежде всего лесхозов.         </w:t>
      </w:r>
    </w:p>
    <w:p w:rsidR="00405AB2" w:rsidRDefault="00405AB2" w:rsidP="00405AB2">
      <w:pPr>
        <w:pStyle w:val="a5"/>
        <w:ind w:firstLine="708"/>
        <w:rPr>
          <w:sz w:val="28"/>
          <w:szCs w:val="28"/>
        </w:rPr>
      </w:pPr>
      <w:r w:rsidRPr="00405AB2">
        <w:rPr>
          <w:sz w:val="28"/>
          <w:szCs w:val="28"/>
        </w:rPr>
        <w:t>Также от одной пчелы можно получить 0,4—0,8 мг яда. Количество яда зависит от возраста пчелы, времени года и пищи. Например, весной и летом пчела вырабатывает наибольшее количество яда. У молодых пчел яда пет или его очень мало. К двухнедельному сроку жизни количество яда у пчелы-труженицы достигает максимума, после чего ядовитая железа постепенно отмирает.</w:t>
      </w:r>
    </w:p>
    <w:p w:rsidR="00405AB2" w:rsidRPr="00405AB2" w:rsidRDefault="00405AB2" w:rsidP="00405AB2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05AB2">
        <w:rPr>
          <w:sz w:val="28"/>
          <w:szCs w:val="28"/>
        </w:rPr>
        <w:t>Существует несколько способов получения пчелиного яда, но почти все они вызывают гибель пчелы после отдачи ею яда.</w:t>
      </w:r>
    </w:p>
    <w:p w:rsidR="00405AB2" w:rsidRPr="00405AB2" w:rsidRDefault="00405AB2" w:rsidP="00405AB2">
      <w:pPr>
        <w:pStyle w:val="a5"/>
        <w:ind w:firstLine="708"/>
        <w:rPr>
          <w:sz w:val="28"/>
          <w:szCs w:val="28"/>
        </w:rPr>
      </w:pPr>
    </w:p>
    <w:p w:rsidR="009262C8" w:rsidRPr="00405AB2" w:rsidRDefault="009262C8" w:rsidP="009262C8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9262C8" w:rsidRPr="009262C8" w:rsidRDefault="009262C8" w:rsidP="009262C8">
      <w:pPr>
        <w:spacing w:before="100" w:beforeAutospacing="1" w:after="100" w:afterAutospacing="1"/>
        <w:rPr>
          <w:sz w:val="28"/>
          <w:szCs w:val="28"/>
        </w:rPr>
      </w:pPr>
    </w:p>
    <w:p w:rsidR="009262C8" w:rsidRPr="00CD0C26" w:rsidRDefault="009262C8" w:rsidP="00CD0C26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</w:p>
    <w:p w:rsidR="00CD0C26" w:rsidRPr="00CD0C26" w:rsidRDefault="00CD0C26" w:rsidP="00CD0C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04B2F" w:rsidRPr="00CD0C26" w:rsidRDefault="00504B2F" w:rsidP="00504B2F"/>
    <w:p w:rsidR="00504B2F" w:rsidRPr="006121AD" w:rsidRDefault="00504B2F" w:rsidP="00504B2F"/>
    <w:p w:rsidR="00504B2F" w:rsidRDefault="00504B2F" w:rsidP="00504B2F">
      <w:pPr>
        <w:spacing w:before="100" w:beforeAutospacing="1" w:after="100" w:afterAutospacing="1"/>
        <w:rPr>
          <w:sz w:val="28"/>
          <w:szCs w:val="28"/>
        </w:rPr>
      </w:pPr>
    </w:p>
    <w:p w:rsidR="00071398" w:rsidRPr="00071398" w:rsidRDefault="00071398" w:rsidP="00071398">
      <w:pPr>
        <w:spacing w:before="100" w:beforeAutospacing="1" w:after="100" w:afterAutospacing="1"/>
        <w:rPr>
          <w:sz w:val="28"/>
          <w:szCs w:val="28"/>
        </w:rPr>
      </w:pPr>
    </w:p>
    <w:p w:rsidR="00071398" w:rsidRDefault="00071398" w:rsidP="00071398">
      <w:pPr>
        <w:spacing w:before="100" w:beforeAutospacing="1" w:after="100" w:afterAutospacing="1"/>
        <w:ind w:left="720"/>
      </w:pPr>
      <w:bookmarkStart w:id="0" w:name="_GoBack"/>
      <w:bookmarkEnd w:id="0"/>
    </w:p>
    <w:sectPr w:rsidR="00071398" w:rsidSect="00071398">
      <w:footerReference w:type="even" r:id="rId19"/>
      <w:footerReference w:type="default" r:id="rId20"/>
      <w:pgSz w:w="11906" w:h="16838"/>
      <w:pgMar w:top="1361" w:right="1185" w:bottom="1361" w:left="16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83" w:rsidRDefault="00FF4F83">
      <w:r>
        <w:separator/>
      </w:r>
    </w:p>
  </w:endnote>
  <w:endnote w:type="continuationSeparator" w:id="0">
    <w:p w:rsidR="00FF4F83" w:rsidRDefault="00FF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98" w:rsidRDefault="00071398" w:rsidP="002332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1398" w:rsidRDefault="00071398" w:rsidP="000713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98" w:rsidRDefault="00071398" w:rsidP="002332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2412">
      <w:rPr>
        <w:rStyle w:val="a4"/>
        <w:noProof/>
      </w:rPr>
      <w:t>2</w:t>
    </w:r>
    <w:r>
      <w:rPr>
        <w:rStyle w:val="a4"/>
      </w:rPr>
      <w:fldChar w:fldCharType="end"/>
    </w:r>
  </w:p>
  <w:p w:rsidR="00071398" w:rsidRDefault="00071398" w:rsidP="000713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83" w:rsidRDefault="00FF4F83">
      <w:r>
        <w:separator/>
      </w:r>
    </w:p>
  </w:footnote>
  <w:footnote w:type="continuationSeparator" w:id="0">
    <w:p w:rsidR="00FF4F83" w:rsidRDefault="00FF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180"/>
    <w:multiLevelType w:val="hybridMultilevel"/>
    <w:tmpl w:val="46B282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05869BC">
      <w:start w:val="1"/>
      <w:numFmt w:val="bullet"/>
      <w:lvlText w:val=""/>
      <w:lvlJc w:val="left"/>
      <w:pPr>
        <w:tabs>
          <w:tab w:val="num" w:pos="1803"/>
        </w:tabs>
        <w:ind w:left="1865" w:hanging="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398"/>
    <w:rsid w:val="00070E22"/>
    <w:rsid w:val="00071398"/>
    <w:rsid w:val="00096184"/>
    <w:rsid w:val="002332AD"/>
    <w:rsid w:val="0026456A"/>
    <w:rsid w:val="00377F51"/>
    <w:rsid w:val="00405AB2"/>
    <w:rsid w:val="004922AA"/>
    <w:rsid w:val="00504B2F"/>
    <w:rsid w:val="005C372A"/>
    <w:rsid w:val="00661C8E"/>
    <w:rsid w:val="00724816"/>
    <w:rsid w:val="007C79E6"/>
    <w:rsid w:val="0083672B"/>
    <w:rsid w:val="00911AC8"/>
    <w:rsid w:val="009262C8"/>
    <w:rsid w:val="00926365"/>
    <w:rsid w:val="00B94BB1"/>
    <w:rsid w:val="00C62412"/>
    <w:rsid w:val="00C834F6"/>
    <w:rsid w:val="00CD0C26"/>
    <w:rsid w:val="00D509AE"/>
    <w:rsid w:val="00EA29F8"/>
    <w:rsid w:val="00FB103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0CD0839F-BE62-4B5D-8487-09EA59A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13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1398"/>
  </w:style>
  <w:style w:type="paragraph" w:styleId="a5">
    <w:name w:val="Normal (Web)"/>
    <w:basedOn w:val="a"/>
    <w:semiHidden/>
    <w:unhideWhenUsed/>
    <w:rsid w:val="00405AB2"/>
    <w:pPr>
      <w:spacing w:before="100" w:beforeAutospacing="1" w:after="100" w:afterAutospacing="1"/>
    </w:pPr>
  </w:style>
  <w:style w:type="table" w:styleId="a6">
    <w:name w:val="Table Grid"/>
    <w:basedOn w:val="a1"/>
    <w:rsid w:val="00D50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o.1september.ru/2005/14/24-1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.1september.ru/2005/14/23-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работы:</vt:lpstr>
    </vt:vector>
  </TitlesOfParts>
  <Company/>
  <LinksUpToDate>false</LinksUpToDate>
  <CharactersWithSpaces>21362</CharactersWithSpaces>
  <SharedDoc>false</SharedDoc>
  <HLinks>
    <vt:vector size="12" baseType="variant"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http://geo.1september.ru/2005/14/24-1.jpg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http://geo.1september.ru/2005/14/23-1.jpg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работы:</dc:title>
  <dc:subject/>
  <dc:creator>vjt</dc:creator>
  <cp:keywords/>
  <dc:description/>
  <cp:lastModifiedBy>admin</cp:lastModifiedBy>
  <cp:revision>2</cp:revision>
  <cp:lastPrinted>2010-03-22T14:29:00Z</cp:lastPrinted>
  <dcterms:created xsi:type="dcterms:W3CDTF">2014-04-17T01:18:00Z</dcterms:created>
  <dcterms:modified xsi:type="dcterms:W3CDTF">2014-04-17T01:18:00Z</dcterms:modified>
</cp:coreProperties>
</file>