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AF3" w:rsidRDefault="00972D84">
      <w:pPr>
        <w:pStyle w:val="1"/>
        <w:spacing w:line="360" w:lineRule="auto"/>
        <w:jc w:val="center"/>
        <w:rPr>
          <w:b/>
          <w:bCs/>
          <w:sz w:val="36"/>
        </w:rPr>
      </w:pPr>
      <w:r>
        <w:rPr>
          <w:b/>
          <w:bCs/>
          <w:sz w:val="36"/>
        </w:rPr>
        <w:t>Параметричний тест Гольдфельда-Квандта</w:t>
      </w:r>
    </w:p>
    <w:p w:rsidR="006C6AF3" w:rsidRDefault="00972D84">
      <w:pPr>
        <w:pStyle w:val="a3"/>
      </w:pPr>
      <w:r>
        <w:t>Коли сукупність спостережень невелика, то розглянути вище метод не застосовний.</w:t>
      </w:r>
    </w:p>
    <w:p w:rsidR="006C6AF3" w:rsidRDefault="00972D84">
      <w:pPr>
        <w:pStyle w:val="a3"/>
      </w:pPr>
      <w:r>
        <w:t xml:space="preserve">У такому разі Гольдфельд і Квант запропонували розглянути випадок, коли </w:t>
      </w:r>
      <w:r>
        <w:rPr>
          <w:i/>
          <w:iCs/>
        </w:rPr>
        <w:t>М (ии’)=</w:t>
      </w:r>
      <w:r>
        <w:rPr>
          <w:i/>
          <w:iCs/>
          <w:position w:val="-14"/>
        </w:rPr>
        <w:object w:dxaOrig="56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75pt;height:20.25pt" o:ole="">
            <v:imagedata r:id="rId5" o:title=""/>
          </v:shape>
          <o:OLEObject Type="Embed" ProgID="Equation.3" ShapeID="_x0000_i1025" DrawAspect="Content" ObjectID="_1458003536" r:id="rId6"/>
        </w:object>
      </w:r>
      <w:r>
        <w:t>, тобто дисперсія залишків зростає пропорційно до квадрата однієї з незалежних змінних медалі:</w:t>
      </w:r>
    </w:p>
    <w:p w:rsidR="006C6AF3" w:rsidRDefault="00972D84">
      <w:pPr>
        <w:pStyle w:val="a3"/>
      </w:pPr>
      <w:r>
        <w:rPr>
          <w:lang w:val="en-US"/>
        </w:rPr>
        <w:t>Y</w:t>
      </w:r>
      <w:r>
        <w:t>=ХА=</w:t>
      </w:r>
      <w:r>
        <w:rPr>
          <w:lang w:val="en-US"/>
        </w:rPr>
        <w:t>u</w:t>
      </w:r>
      <w:r>
        <w:t>.</w:t>
      </w:r>
    </w:p>
    <w:p w:rsidR="006C6AF3" w:rsidRDefault="00972D84">
      <w:pPr>
        <w:pStyle w:val="a3"/>
      </w:pPr>
      <w:r>
        <w:t>Для виявлення наявності гетероскедастичності згадані вчені склали параметричний тест, в якому потрібно виконати такі кроки.</w:t>
      </w:r>
    </w:p>
    <w:p w:rsidR="006C6AF3" w:rsidRDefault="00972D84">
      <w:pPr>
        <w:pStyle w:val="a3"/>
      </w:pPr>
      <w:r>
        <w:t>Крок 1. Упорядкувати спостереження відповідно до величини елементів вектора Х</w:t>
      </w:r>
      <w:r>
        <w:rPr>
          <w:vertAlign w:val="subscript"/>
          <w:lang w:val="en-US"/>
        </w:rPr>
        <w:t>j</w:t>
      </w:r>
      <w:r>
        <w:t>.</w:t>
      </w:r>
    </w:p>
    <w:p w:rsidR="006C6AF3" w:rsidRDefault="00972D84">
      <w:pPr>
        <w:pStyle w:val="a3"/>
      </w:pPr>
      <w:r>
        <w:t xml:space="preserve">Крок 2. Відкинути с спостережень, які мітять в центрі вектора. Згідно з експериментальними розрахунками автори знайшли оптимальні співвідношення між параметрами с і </w:t>
      </w:r>
      <w:r>
        <w:rPr>
          <w:lang w:val="en-US"/>
        </w:rPr>
        <w:t>n</w:t>
      </w:r>
      <w:r>
        <w:t xml:space="preserve">, де </w:t>
      </w:r>
      <w:r>
        <w:rPr>
          <w:lang w:val="en-US"/>
        </w:rPr>
        <w:t>n</w:t>
      </w:r>
      <w:r>
        <w:rPr>
          <w:lang w:val="ru-RU"/>
        </w:rPr>
        <w:t xml:space="preserve"> </w:t>
      </w:r>
      <w:r>
        <w:t>– кількість елементів</w:t>
      </w:r>
      <w:r>
        <w:rPr>
          <w:lang w:val="ru-RU"/>
        </w:rPr>
        <w:t xml:space="preserve"> вектора х</w:t>
      </w:r>
      <w:r>
        <w:rPr>
          <w:vertAlign w:val="subscript"/>
          <w:lang w:val="en-US"/>
        </w:rPr>
        <w:t>j</w:t>
      </w:r>
      <w:r>
        <w:t>:</w:t>
      </w:r>
    </w:p>
    <w:p w:rsidR="006C6AF3" w:rsidRDefault="00972D84">
      <w:pPr>
        <w:pStyle w:val="a3"/>
        <w:jc w:val="center"/>
      </w:pPr>
      <w:r>
        <w:rPr>
          <w:position w:val="-24"/>
        </w:rPr>
        <w:object w:dxaOrig="740" w:dyaOrig="620">
          <v:shape id="_x0000_i1026" type="#_x0000_t75" style="width:36.75pt;height:30.75pt" o:ole="">
            <v:imagedata r:id="rId7" o:title=""/>
          </v:shape>
          <o:OLEObject Type="Embed" ProgID="Equation.3" ShapeID="_x0000_i1026" DrawAspect="Content" ObjectID="_1458003537" r:id="rId8"/>
        </w:object>
      </w:r>
      <w:r>
        <w:t>.</w:t>
      </w:r>
    </w:p>
    <w:p w:rsidR="006C6AF3" w:rsidRDefault="00972D84">
      <w:pPr>
        <w:pStyle w:val="a3"/>
      </w:pPr>
      <w:r>
        <w:t xml:space="preserve">Крок 3. Побудувати дві економетричні моделі на основі 1МНК за двома утвореними сукупностями спостережень обсягом </w:t>
      </w:r>
      <w:r>
        <w:rPr>
          <w:lang w:val="en-US"/>
        </w:rPr>
        <w:t>n</w:t>
      </w:r>
      <w:r>
        <w:rPr>
          <w:vertAlign w:val="subscript"/>
        </w:rPr>
        <w:t>1</w:t>
      </w:r>
      <w:r>
        <w:t xml:space="preserve"> =</w:t>
      </w:r>
      <w:r>
        <w:rPr>
          <w:position w:val="-24"/>
        </w:rPr>
        <w:object w:dxaOrig="240" w:dyaOrig="620">
          <v:shape id="_x0000_i1027" type="#_x0000_t75" style="width:12pt;height:30.75pt" o:ole="">
            <v:imagedata r:id="rId9" o:title=""/>
          </v:shape>
          <o:OLEObject Type="Embed" ProgID="Equation.3" ShapeID="_x0000_i1027" DrawAspect="Content" ObjectID="_1458003538" r:id="rId10"/>
        </w:object>
      </w:r>
      <w:r>
        <w:t xml:space="preserve">за умови, що обсяг </w:t>
      </w:r>
      <w:r>
        <w:rPr>
          <w:lang w:val="en-US"/>
        </w:rPr>
        <w:t>n</w:t>
      </w:r>
      <w:r>
        <w:rPr>
          <w:vertAlign w:val="subscript"/>
        </w:rPr>
        <w:t>2</w:t>
      </w:r>
      <w:r>
        <w:t xml:space="preserve"> =</w:t>
      </w:r>
      <w:r>
        <w:rPr>
          <w:position w:val="-24"/>
        </w:rPr>
        <w:object w:dxaOrig="240" w:dyaOrig="620">
          <v:shape id="_x0000_i1028" type="#_x0000_t75" style="width:12pt;height:30.75pt" o:ole="">
            <v:imagedata r:id="rId9" o:title=""/>
          </v:shape>
          <o:OLEObject Type="Embed" ProgID="Equation.3" ShapeID="_x0000_i1028" DrawAspect="Content" ObjectID="_1458003539" r:id="rId11"/>
        </w:object>
      </w:r>
      <w:r>
        <w:t xml:space="preserve">перевищує кількість змінних </w:t>
      </w:r>
      <w:r>
        <w:rPr>
          <w:lang w:val="en-US"/>
        </w:rPr>
        <w:t>m</w:t>
      </w:r>
      <w:r>
        <w:t>.</w:t>
      </w:r>
    </w:p>
    <w:p w:rsidR="006C6AF3" w:rsidRDefault="00972D84">
      <w:pPr>
        <w:pStyle w:val="a3"/>
      </w:pPr>
      <w:r>
        <w:t xml:space="preserve">Крок 4. Знайти суму квадратів залишків за першою (1) і другою (2) моделями </w:t>
      </w:r>
      <w:r>
        <w:rPr>
          <w:lang w:val="en-US"/>
        </w:rPr>
        <w:t>S</w:t>
      </w:r>
      <w:r>
        <w:rPr>
          <w:vertAlign w:val="subscript"/>
          <w:lang w:val="ru-RU"/>
        </w:rPr>
        <w:t>1</w:t>
      </w:r>
      <w:r>
        <w:rPr>
          <w:lang w:val="ru-RU"/>
        </w:rPr>
        <w:t xml:space="preserve"> </w:t>
      </w:r>
      <w:r>
        <w:t>і</w:t>
      </w:r>
      <w:r>
        <w:rPr>
          <w:lang w:val="ru-RU"/>
        </w:rPr>
        <w:t xml:space="preserve"> </w:t>
      </w:r>
      <w:r>
        <w:rPr>
          <w:lang w:val="en-US"/>
        </w:rPr>
        <w:t>S</w:t>
      </w:r>
      <w:r>
        <w:rPr>
          <w:vertAlign w:val="subscript"/>
          <w:lang w:val="ru-RU"/>
        </w:rPr>
        <w:t>2</w:t>
      </w:r>
      <w:r>
        <w:t>:</w:t>
      </w:r>
    </w:p>
    <w:p w:rsidR="006C6AF3" w:rsidRDefault="00972D84">
      <w:pPr>
        <w:pStyle w:val="a3"/>
        <w:jc w:val="center"/>
      </w:pPr>
      <w:r>
        <w:rPr>
          <w:lang w:val="en-US"/>
        </w:rPr>
        <w:t>S</w:t>
      </w:r>
      <w:r>
        <w:rPr>
          <w:vertAlign w:val="subscript"/>
          <w:lang w:val="en-US"/>
        </w:rPr>
        <w:t>1</w:t>
      </w:r>
      <w:r>
        <w:rPr>
          <w:lang w:val="en-US"/>
        </w:rPr>
        <w:t>=u</w:t>
      </w:r>
      <w:r>
        <w:rPr>
          <w:position w:val="-10"/>
          <w:lang w:val="en-US"/>
        </w:rPr>
        <w:object w:dxaOrig="120" w:dyaOrig="360">
          <v:shape id="_x0000_i1029" type="#_x0000_t75" style="width:6pt;height:18pt" o:ole="">
            <v:imagedata r:id="rId12" o:title=""/>
          </v:shape>
          <o:OLEObject Type="Embed" ProgID="Equation.3" ShapeID="_x0000_i1029" DrawAspect="Content" ObjectID="_1458003540" r:id="rId13"/>
        </w:object>
      </w:r>
      <w:r>
        <w:rPr>
          <w:lang w:val="en-US"/>
        </w:rPr>
        <w:t>u</w:t>
      </w:r>
      <w:r>
        <w:rPr>
          <w:vertAlign w:val="subscript"/>
          <w:lang w:val="en-US"/>
        </w:rPr>
        <w:t>1</w:t>
      </w:r>
      <w:r>
        <w:t>,</w:t>
      </w:r>
    </w:p>
    <w:p w:rsidR="006C6AF3" w:rsidRDefault="00972D84">
      <w:pPr>
        <w:pStyle w:val="a3"/>
      </w:pPr>
      <w:r>
        <w:t xml:space="preserve">Де </w:t>
      </w:r>
      <w:r>
        <w:rPr>
          <w:lang w:val="en-US"/>
        </w:rPr>
        <w:t>u</w:t>
      </w:r>
      <w:r>
        <w:rPr>
          <w:vertAlign w:val="subscript"/>
          <w:lang w:val="ru-RU"/>
        </w:rPr>
        <w:t>1</w:t>
      </w:r>
      <w:r>
        <w:t xml:space="preserve"> – залишки за моделлю (1);</w:t>
      </w:r>
    </w:p>
    <w:p w:rsidR="006C6AF3" w:rsidRDefault="00972D84">
      <w:pPr>
        <w:pStyle w:val="a3"/>
        <w:jc w:val="center"/>
      </w:pPr>
      <w:r>
        <w:rPr>
          <w:lang w:val="en-US"/>
        </w:rPr>
        <w:t>S</w:t>
      </w:r>
      <w:r>
        <w:rPr>
          <w:vertAlign w:val="subscript"/>
        </w:rPr>
        <w:t>2</w:t>
      </w:r>
      <w:r>
        <w:rPr>
          <w:lang w:val="en-US"/>
        </w:rPr>
        <w:t>=u</w:t>
      </w:r>
      <w:r>
        <w:rPr>
          <w:position w:val="-10"/>
          <w:lang w:val="en-US"/>
        </w:rPr>
        <w:object w:dxaOrig="160" w:dyaOrig="360">
          <v:shape id="_x0000_i1030" type="#_x0000_t75" style="width:17.25pt;height:24pt" o:ole="">
            <v:imagedata r:id="rId14" o:title=""/>
          </v:shape>
          <o:OLEObject Type="Embed" ProgID="Equation.3" ShapeID="_x0000_i1030" DrawAspect="Content" ObjectID="_1458003541" r:id="rId15"/>
        </w:object>
      </w:r>
      <w:r>
        <w:rPr>
          <w:lang w:val="en-US"/>
        </w:rPr>
        <w:t>u</w:t>
      </w:r>
      <w:r>
        <w:rPr>
          <w:vertAlign w:val="subscript"/>
        </w:rPr>
        <w:t>2</w:t>
      </w:r>
      <w:r>
        <w:t>,</w:t>
      </w:r>
    </w:p>
    <w:p w:rsidR="006C6AF3" w:rsidRDefault="00972D84">
      <w:pPr>
        <w:pStyle w:val="a3"/>
      </w:pPr>
      <w:r>
        <w:t>Крок 5. Обчислити критерій</w:t>
      </w:r>
    </w:p>
    <w:p w:rsidR="006C6AF3" w:rsidRDefault="00972D84">
      <w:pPr>
        <w:pStyle w:val="a3"/>
        <w:jc w:val="center"/>
      </w:pPr>
      <w:r>
        <w:rPr>
          <w:position w:val="-30"/>
        </w:rPr>
        <w:object w:dxaOrig="880" w:dyaOrig="700">
          <v:shape id="_x0000_i1031" type="#_x0000_t75" style="width:44.25pt;height:35.25pt" o:ole="">
            <v:imagedata r:id="rId16" o:title=""/>
          </v:shape>
          <o:OLEObject Type="Embed" ProgID="Equation.3" ShapeID="_x0000_i1031" DrawAspect="Content" ObjectID="_1458003542" r:id="rId17"/>
        </w:object>
      </w:r>
      <w:r>
        <w:t>,</w:t>
      </w:r>
    </w:p>
    <w:p w:rsidR="006C6AF3" w:rsidRDefault="00972D84">
      <w:pPr>
        <w:pStyle w:val="a3"/>
      </w:pPr>
      <w:r>
        <w:t xml:space="preserve">який в разі виконання гіпотези про гомоскедастичність відповідатиме </w:t>
      </w:r>
      <w:r>
        <w:rPr>
          <w:lang w:val="en-US"/>
        </w:rPr>
        <w:t>F</w:t>
      </w:r>
      <w:r>
        <w:t>-розподілу з (</w:t>
      </w:r>
      <w:r>
        <w:rPr>
          <w:lang w:val="en-US"/>
        </w:rPr>
        <w:t>n</w:t>
      </w:r>
      <w:r>
        <w:rPr>
          <w:vertAlign w:val="subscript"/>
        </w:rPr>
        <w:t>1</w:t>
      </w:r>
      <w:r>
        <w:t>-</w:t>
      </w:r>
      <w:r>
        <w:rPr>
          <w:lang w:val="en-US"/>
        </w:rPr>
        <w:t>c</w:t>
      </w:r>
      <w:r>
        <w:t>-2</w:t>
      </w:r>
      <w:r>
        <w:rPr>
          <w:lang w:val="en-US"/>
        </w:rPr>
        <w:t>m</w:t>
      </w:r>
      <w:r>
        <w:t>)/2, (</w:t>
      </w:r>
      <w:r>
        <w:rPr>
          <w:lang w:val="en-US"/>
        </w:rPr>
        <w:t>n</w:t>
      </w:r>
      <w:r>
        <w:rPr>
          <w:vertAlign w:val="subscript"/>
        </w:rPr>
        <w:t>2</w:t>
      </w:r>
      <w:r>
        <w:t>-</w:t>
      </w:r>
      <w:r>
        <w:rPr>
          <w:lang w:val="en-US"/>
        </w:rPr>
        <w:t>c</w:t>
      </w:r>
      <w:r>
        <w:t>-2</w:t>
      </w:r>
      <w:r>
        <w:rPr>
          <w:lang w:val="en-US"/>
        </w:rPr>
        <w:t>m</w:t>
      </w:r>
      <w:r>
        <w:t xml:space="preserve">)/2 ступенями свободи. Це означає, що обчислення </w:t>
      </w:r>
      <w:r>
        <w:rPr>
          <w:lang w:val="en-US"/>
        </w:rPr>
        <w:t>R</w:t>
      </w:r>
      <w:r>
        <w:t xml:space="preserve">* порівнюється з табличним значенням </w:t>
      </w:r>
      <w:r>
        <w:rPr>
          <w:lang w:val="en-US"/>
        </w:rPr>
        <w:t>F</w:t>
      </w:r>
      <w:r>
        <w:t>-критерію для ступенів свободи (</w:t>
      </w:r>
      <w:r>
        <w:rPr>
          <w:lang w:val="en-US"/>
        </w:rPr>
        <w:t>n</w:t>
      </w:r>
      <w:r>
        <w:t>-с-2</w:t>
      </w:r>
      <w:r>
        <w:rPr>
          <w:lang w:val="en-US"/>
        </w:rPr>
        <w:t>m</w:t>
      </w:r>
      <w:r>
        <w:t>)/2 і (</w:t>
      </w:r>
      <w:r>
        <w:rPr>
          <w:lang w:val="en-US"/>
        </w:rPr>
        <w:t>n</w:t>
      </w:r>
      <w:r>
        <w:t>-с-2</w:t>
      </w:r>
      <w:r>
        <w:rPr>
          <w:lang w:val="en-US"/>
        </w:rPr>
        <w:t>m</w:t>
      </w:r>
      <w:r>
        <w:t xml:space="preserve">)/2 і вибраного рівня довіри. Якщо </w:t>
      </w:r>
      <w:r>
        <w:rPr>
          <w:lang w:val="en-US"/>
        </w:rPr>
        <w:t>R</w:t>
      </w:r>
      <w:r>
        <w:t>*</w:t>
      </w:r>
      <w:r>
        <w:rPr>
          <w:position w:val="-4"/>
          <w:lang w:val="en-US"/>
        </w:rPr>
        <w:object w:dxaOrig="200" w:dyaOrig="240">
          <v:shape id="_x0000_i1032" type="#_x0000_t75" style="width:9.75pt;height:12pt" o:ole="">
            <v:imagedata r:id="rId18" o:title=""/>
          </v:shape>
          <o:OLEObject Type="Embed" ProgID="Equation.3" ShapeID="_x0000_i1032" DrawAspect="Content" ObjectID="_1458003543" r:id="rId19"/>
        </w:object>
      </w:r>
      <w:r>
        <w:rPr>
          <w:lang w:val="en-US"/>
        </w:rPr>
        <w:t>F</w:t>
      </w:r>
      <w:r>
        <w:rPr>
          <w:vertAlign w:val="subscript"/>
        </w:rPr>
        <w:t xml:space="preserve">табл, </w:t>
      </w:r>
      <w:r>
        <w:t>то гетероскедастичність відсутня.</w:t>
      </w:r>
    </w:p>
    <w:p w:rsidR="006C6AF3" w:rsidRDefault="00972D84">
      <w:pPr>
        <w:pStyle w:val="a3"/>
      </w:pPr>
      <w:r>
        <w:t>Приклад 1. У табл. 1. наведено дані про загальні витрати та витрати на харчування. Для цих даних перевірити гіпотезу про відсутність гетероскедастичності.</w:t>
      </w:r>
    </w:p>
    <w:p w:rsidR="006C6AF3" w:rsidRDefault="00972D84">
      <w:pPr>
        <w:pStyle w:val="a3"/>
        <w:ind w:firstLine="0"/>
        <w:jc w:val="right"/>
        <w:rPr>
          <w:i/>
          <w:iCs/>
        </w:rPr>
      </w:pPr>
      <w:r>
        <w:rPr>
          <w:i/>
          <w:iCs/>
        </w:rPr>
        <w:t>Таблиця 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11"/>
        <w:gridCol w:w="1785"/>
        <w:gridCol w:w="1563"/>
        <w:gridCol w:w="1445"/>
        <w:gridCol w:w="1446"/>
        <w:gridCol w:w="1504"/>
      </w:tblGrid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Номер спостереження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Витрати на харчування, ум.од.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Загальні витрати, ум. од.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  <w:position w:val="-4"/>
              </w:rPr>
              <w:object w:dxaOrig="220" w:dyaOrig="300">
                <v:shape id="_x0000_i1033" type="#_x0000_t75" style="width:11.25pt;height:15pt" o:ole="">
                  <v:imagedata r:id="rId20" o:title=""/>
                </v:shape>
                <o:OLEObject Type="Embed" ProgID="Equation.3" ShapeID="_x0000_i1033" DrawAspect="Content" ObjectID="_1458003544" r:id="rId21"/>
              </w:objec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u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u</w:t>
            </w:r>
            <w:r>
              <w:rPr>
                <w:b/>
                <w:bCs/>
                <w:vertAlign w:val="superscript"/>
                <w:lang w:val="en-US"/>
              </w:rPr>
              <w:t>2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2,30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15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2,16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0,14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0,020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15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2,16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0,04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0,002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2,08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16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2,20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-0,12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0,015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4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17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2,25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-0,05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0,002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5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2,10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7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2,25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-0,15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0,022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6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2,32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18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2,29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0,26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0,0007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7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2,45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19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2,34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0,11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0,012</w:t>
            </w:r>
          </w:p>
        </w:tc>
      </w:tr>
      <w:tr w:rsidR="006C6AF3">
        <w:trPr>
          <w:cantSplit/>
        </w:trPr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8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2,50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20</w:t>
            </w:r>
          </w:p>
        </w:tc>
        <w:tc>
          <w:tcPr>
            <w:tcW w:w="1520" w:type="dxa"/>
            <w:vMerge w:val="restart"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21" w:type="dxa"/>
            <w:vMerge w:val="restart"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57" w:type="dxa"/>
            <w:vMerge w:val="restart"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</w:tr>
      <w:tr w:rsidR="006C6AF3">
        <w:trPr>
          <w:cantSplit/>
        </w:trPr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9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2,20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20</w:t>
            </w:r>
          </w:p>
        </w:tc>
        <w:tc>
          <w:tcPr>
            <w:tcW w:w="1520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21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57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</w:tr>
      <w:tr w:rsidR="006C6AF3">
        <w:trPr>
          <w:cantSplit/>
        </w:trPr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10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2,50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22</w:t>
            </w:r>
          </w:p>
        </w:tc>
        <w:tc>
          <w:tcPr>
            <w:tcW w:w="1520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21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57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</w:tr>
      <w:tr w:rsidR="006C6AF3">
        <w:trPr>
          <w:cantSplit/>
        </w:trPr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11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3,10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64</w:t>
            </w:r>
          </w:p>
        </w:tc>
        <w:tc>
          <w:tcPr>
            <w:tcW w:w="1520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21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  <w:tc>
          <w:tcPr>
            <w:tcW w:w="1557" w:type="dxa"/>
            <w:vMerge/>
            <w:vAlign w:val="center"/>
          </w:tcPr>
          <w:p w:rsidR="006C6AF3" w:rsidRDefault="006C6AF3">
            <w:pPr>
              <w:pStyle w:val="a3"/>
              <w:ind w:firstLine="0"/>
              <w:jc w:val="center"/>
            </w:pP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12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2,50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68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2,37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0,13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0,016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13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2,82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72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2,52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1,29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0,085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14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3,04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80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2,68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0,36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0,128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15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2,70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85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2,99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-0,29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0,084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16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3,94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90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3,18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0,76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0,573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17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3,10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95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3,38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-0,28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0,076</w:t>
            </w:r>
          </w:p>
        </w:tc>
      </w:tr>
      <w:tr w:rsidR="006C6AF3">
        <w:tc>
          <w:tcPr>
            <w:tcW w:w="2012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18</w:t>
            </w:r>
          </w:p>
        </w:tc>
        <w:tc>
          <w:tcPr>
            <w:tcW w:w="16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3,99</w:t>
            </w:r>
          </w:p>
        </w:tc>
        <w:tc>
          <w:tcPr>
            <w:tcW w:w="158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100</w:t>
            </w:r>
          </w:p>
        </w:tc>
        <w:tc>
          <w:tcPr>
            <w:tcW w:w="1520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3,57</w:t>
            </w:r>
          </w:p>
        </w:tc>
        <w:tc>
          <w:tcPr>
            <w:tcW w:w="1521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0,42</w:t>
            </w:r>
          </w:p>
        </w:tc>
        <w:tc>
          <w:tcPr>
            <w:tcW w:w="1557" w:type="dxa"/>
            <w:vAlign w:val="center"/>
          </w:tcPr>
          <w:p w:rsidR="006C6AF3" w:rsidRDefault="00972D84">
            <w:pPr>
              <w:pStyle w:val="a3"/>
              <w:ind w:firstLine="0"/>
              <w:jc w:val="center"/>
            </w:pPr>
            <w:r>
              <w:t>0,178</w:t>
            </w:r>
          </w:p>
        </w:tc>
      </w:tr>
    </w:tbl>
    <w:p w:rsidR="006C6AF3" w:rsidRDefault="006C6AF3">
      <w:pPr>
        <w:pStyle w:val="a3"/>
        <w:ind w:firstLine="0"/>
      </w:pPr>
    </w:p>
    <w:p w:rsidR="006C6AF3" w:rsidRDefault="00972D84">
      <w:pPr>
        <w:pStyle w:val="a3"/>
        <w:ind w:firstLine="0"/>
      </w:pPr>
      <w:r>
        <w:t>Розв’язання.</w:t>
      </w:r>
    </w:p>
    <w:p w:rsidR="006C6AF3" w:rsidRDefault="00972D84">
      <w:pPr>
        <w:pStyle w:val="a3"/>
        <w:numPr>
          <w:ilvl w:val="0"/>
          <w:numId w:val="1"/>
        </w:numPr>
      </w:pPr>
      <w:r>
        <w:t>Ідентифікуємо змінні:</w:t>
      </w:r>
    </w:p>
    <w:p w:rsidR="006C6AF3" w:rsidRDefault="00972D84">
      <w:pPr>
        <w:pStyle w:val="a3"/>
        <w:ind w:left="360" w:firstLine="0"/>
      </w:pPr>
      <w:r>
        <w:rPr>
          <w:lang w:val="en-US"/>
        </w:rPr>
        <w:t>Y</w:t>
      </w:r>
      <w:r>
        <w:t xml:space="preserve"> – витрати на харчування, залежна змінна,</w:t>
      </w:r>
    </w:p>
    <w:p w:rsidR="006C6AF3" w:rsidRDefault="00972D84">
      <w:pPr>
        <w:pStyle w:val="a3"/>
        <w:ind w:left="360" w:firstLine="0"/>
      </w:pPr>
      <w:r>
        <w:t>Х – загальні витрати, не6залежна змінна;</w:t>
      </w:r>
    </w:p>
    <w:p w:rsidR="006C6AF3" w:rsidRDefault="00972D84">
      <w:pPr>
        <w:pStyle w:val="a3"/>
        <w:ind w:left="360" w:firstLine="0"/>
        <w:jc w:val="center"/>
        <w:rPr>
          <w:lang w:val="en-US"/>
        </w:rPr>
      </w:pPr>
      <w:r>
        <w:rPr>
          <w:lang w:val="en-US"/>
        </w:rPr>
        <w:t>Y=f (X,u)</w:t>
      </w:r>
    </w:p>
    <w:p w:rsidR="006C6AF3" w:rsidRDefault="00972D84">
      <w:pPr>
        <w:pStyle w:val="a3"/>
        <w:numPr>
          <w:ilvl w:val="0"/>
          <w:numId w:val="1"/>
        </w:numPr>
      </w:pPr>
      <w:r>
        <w:t>Для перевірки гіпотези про відсутність гетероскедастичності застосуємо параметричний тест Гольдфельда-Квандта.</w:t>
      </w:r>
    </w:p>
    <w:p w:rsidR="006C6AF3" w:rsidRDefault="00972D84">
      <w:pPr>
        <w:pStyle w:val="a3"/>
        <w:numPr>
          <w:ilvl w:val="1"/>
          <w:numId w:val="1"/>
        </w:numPr>
      </w:pPr>
      <w:r>
        <w:t>Упорядкуємо значення незалежної змінної від меншого до більшого і відкинемо с значень, які містяться всередині впорядкованого ряду:</w:t>
      </w:r>
    </w:p>
    <w:p w:rsidR="006C6AF3" w:rsidRDefault="00972D84">
      <w:pPr>
        <w:jc w:val="center"/>
        <w:rPr>
          <w:sz w:val="28"/>
          <w:lang w:val="uk-UA"/>
        </w:rPr>
      </w:pPr>
      <w:r>
        <w:rPr>
          <w:position w:val="-24"/>
          <w:sz w:val="28"/>
          <w:lang w:val="uk-UA"/>
        </w:rPr>
        <w:object w:dxaOrig="1340" w:dyaOrig="620">
          <v:shape id="_x0000_i1034" type="#_x0000_t75" style="width:81pt;height:37.5pt" o:ole="">
            <v:imagedata r:id="rId22" o:title=""/>
          </v:shape>
          <o:OLEObject Type="Embed" ProgID="Equation.3" ShapeID="_x0000_i1034" DrawAspect="Content" ObjectID="_1458003545" r:id="rId23"/>
        </w:object>
      </w:r>
      <w:r>
        <w:rPr>
          <w:sz w:val="28"/>
          <w:lang w:val="uk-UA"/>
        </w:rPr>
        <w:t>,</w:t>
      </w:r>
    </w:p>
    <w:p w:rsidR="006C6AF3" w:rsidRDefault="00972D84">
      <w:pPr>
        <w:numPr>
          <w:ilvl w:val="1"/>
          <w:numId w:val="2"/>
        </w:numPr>
        <w:jc w:val="both"/>
        <w:rPr>
          <w:sz w:val="28"/>
          <w:lang w:val="uk-UA"/>
        </w:rPr>
      </w:pPr>
      <w:r>
        <w:rPr>
          <w:sz w:val="28"/>
          <w:lang w:val="uk-UA"/>
        </w:rPr>
        <w:t>Визначимо залишки за цими двома моделями:</w:t>
      </w:r>
    </w:p>
    <w:p w:rsidR="006C6AF3" w:rsidRDefault="00972D84">
      <w:pPr>
        <w:spacing w:line="360" w:lineRule="auto"/>
        <w:ind w:left="360"/>
        <w:jc w:val="center"/>
        <w:rPr>
          <w:sz w:val="28"/>
          <w:lang w:val="en-US"/>
        </w:rPr>
      </w:pPr>
      <w:r>
        <w:rPr>
          <w:sz w:val="28"/>
          <w:lang w:val="en-US"/>
        </w:rPr>
        <w:t>u= Y</w:t>
      </w:r>
      <w:r>
        <w:rPr>
          <w:sz w:val="28"/>
          <w:vertAlign w:val="subscript"/>
          <w:lang w:val="uk-UA"/>
        </w:rPr>
        <w:t>І</w:t>
      </w:r>
      <w:r>
        <w:rPr>
          <w:b/>
          <w:bCs/>
          <w:sz w:val="28"/>
          <w:lang w:val="en-US"/>
        </w:rPr>
        <w:t>-</w:t>
      </w:r>
      <w:r>
        <w:rPr>
          <w:b/>
          <w:bCs/>
          <w:position w:val="-4"/>
          <w:sz w:val="28"/>
        </w:rPr>
        <w:object w:dxaOrig="220" w:dyaOrig="300">
          <v:shape id="_x0000_i1035" type="#_x0000_t75" style="width:11.25pt;height:18pt" o:ole="">
            <v:imagedata r:id="rId24" o:title=""/>
          </v:shape>
          <o:OLEObject Type="Embed" ProgID="Equation.3" ShapeID="_x0000_i1035" DrawAspect="Content" ObjectID="_1458003546" r:id="rId25"/>
        </w:object>
      </w:r>
      <w:r>
        <w:rPr>
          <w:sz w:val="28"/>
          <w:vertAlign w:val="subscript"/>
          <w:lang w:val="uk-UA"/>
        </w:rPr>
        <w:t>І</w:t>
      </w:r>
      <w:r>
        <w:rPr>
          <w:sz w:val="28"/>
          <w:lang w:val="en-US"/>
        </w:rPr>
        <w:t>;</w:t>
      </w:r>
    </w:p>
    <w:p w:rsidR="006C6AF3" w:rsidRDefault="00972D84">
      <w:pPr>
        <w:spacing w:line="360" w:lineRule="auto"/>
        <w:ind w:left="360"/>
        <w:jc w:val="center"/>
        <w:rPr>
          <w:sz w:val="28"/>
          <w:lang w:val="uk-UA"/>
        </w:rPr>
      </w:pPr>
      <w:r>
        <w:rPr>
          <w:sz w:val="28"/>
          <w:lang w:val="en-US"/>
        </w:rPr>
        <w:t>u= Y</w:t>
      </w:r>
      <w:r>
        <w:rPr>
          <w:sz w:val="28"/>
          <w:vertAlign w:val="subscript"/>
          <w:lang w:val="uk-UA"/>
        </w:rPr>
        <w:t>ІІ</w:t>
      </w:r>
      <w:r>
        <w:rPr>
          <w:b/>
          <w:bCs/>
          <w:sz w:val="28"/>
          <w:lang w:val="en-US"/>
        </w:rPr>
        <w:t>-</w:t>
      </w:r>
      <w:r>
        <w:rPr>
          <w:b/>
          <w:bCs/>
          <w:position w:val="-4"/>
          <w:sz w:val="28"/>
        </w:rPr>
        <w:object w:dxaOrig="220" w:dyaOrig="300">
          <v:shape id="_x0000_i1036" type="#_x0000_t75" style="width:11.25pt;height:18pt" o:ole="">
            <v:imagedata r:id="rId24" o:title=""/>
          </v:shape>
          <o:OLEObject Type="Embed" ProgID="Equation.3" ShapeID="_x0000_i1036" DrawAspect="Content" ObjectID="_1458003547" r:id="rId26"/>
        </w:object>
      </w:r>
      <w:r>
        <w:rPr>
          <w:sz w:val="28"/>
          <w:vertAlign w:val="subscript"/>
          <w:lang w:val="en-US"/>
        </w:rPr>
        <w:t>ІІ</w:t>
      </w:r>
      <w:r>
        <w:rPr>
          <w:sz w:val="28"/>
          <w:lang w:val="uk-UA"/>
        </w:rPr>
        <w:t>.</w:t>
      </w:r>
    </w:p>
    <w:p w:rsidR="006C6AF3" w:rsidRDefault="00972D84">
      <w:pPr>
        <w:spacing w:line="360" w:lineRule="auto"/>
        <w:ind w:left="360"/>
        <w:jc w:val="both"/>
        <w:rPr>
          <w:sz w:val="28"/>
          <w:lang w:val="uk-UA"/>
        </w:rPr>
      </w:pPr>
      <w:r>
        <w:rPr>
          <w:sz w:val="28"/>
          <w:lang w:val="uk-UA"/>
        </w:rPr>
        <w:t>Залишки та квадрати залишків наведено в табл. 7.3.</w:t>
      </w:r>
    </w:p>
    <w:p w:rsidR="006C6AF3" w:rsidRDefault="00972D84">
      <w:pPr>
        <w:numPr>
          <w:ilvl w:val="1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Обчислимо залишкові дисперсії та знайдемо їх співвідношення:</w:t>
      </w:r>
    </w:p>
    <w:p w:rsidR="006C6AF3" w:rsidRDefault="00972D84">
      <w:pPr>
        <w:spacing w:line="360" w:lineRule="auto"/>
        <w:ind w:left="360"/>
        <w:jc w:val="center"/>
        <w:rPr>
          <w:sz w:val="28"/>
          <w:lang w:val="uk-UA"/>
        </w:rPr>
      </w:pPr>
      <w:r>
        <w:rPr>
          <w:position w:val="-30"/>
          <w:sz w:val="28"/>
          <w:lang w:val="uk-UA"/>
        </w:rPr>
        <w:object w:dxaOrig="2460" w:dyaOrig="680">
          <v:shape id="_x0000_i1037" type="#_x0000_t75" style="width:2in;height:39.75pt" o:ole="">
            <v:imagedata r:id="rId27" o:title=""/>
          </v:shape>
          <o:OLEObject Type="Embed" ProgID="Equation.3" ShapeID="_x0000_i1037" DrawAspect="Content" ObjectID="_1458003548" r:id="rId28"/>
        </w:object>
      </w:r>
    </w:p>
    <w:p w:rsidR="006C6AF3" w:rsidRDefault="00972D84">
      <w:pPr>
        <w:numPr>
          <w:ilvl w:val="1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Порівняємо критерій </w:t>
      </w:r>
      <w:r>
        <w:rPr>
          <w:sz w:val="28"/>
          <w:lang w:val="en-US"/>
        </w:rPr>
        <w:t>R</w:t>
      </w:r>
      <w:r>
        <w:rPr>
          <w:sz w:val="28"/>
          <w:lang w:val="uk-UA"/>
        </w:rPr>
        <w:t xml:space="preserve">* з критичним значенням </w:t>
      </w:r>
      <w:r>
        <w:rPr>
          <w:sz w:val="28"/>
          <w:lang w:val="en-US"/>
        </w:rPr>
        <w:t>F</w:t>
      </w:r>
      <w:r>
        <w:rPr>
          <w:sz w:val="28"/>
          <w:lang w:val="uk-UA"/>
        </w:rPr>
        <w:t xml:space="preserve">-критерію при </w:t>
      </w:r>
      <w:r>
        <w:rPr>
          <w:position w:val="-10"/>
          <w:sz w:val="28"/>
          <w:lang w:val="uk-UA"/>
        </w:rPr>
        <w:object w:dxaOrig="639" w:dyaOrig="340">
          <v:shape id="_x0000_i1038" type="#_x0000_t75" style="width:32.25pt;height:17.25pt" o:ole="">
            <v:imagedata r:id="rId29" o:title=""/>
          </v:shape>
          <o:OLEObject Type="Embed" ProgID="Equation.3" ShapeID="_x0000_i1038" DrawAspect="Content" ObjectID="_1458003549" r:id="rId30"/>
        </w:object>
      </w:r>
      <w:r>
        <w:rPr>
          <w:sz w:val="28"/>
          <w:lang w:val="uk-UA"/>
        </w:rPr>
        <w:t xml:space="preserve"> і </w:t>
      </w:r>
      <w:r>
        <w:rPr>
          <w:position w:val="-10"/>
          <w:sz w:val="28"/>
          <w:lang w:val="uk-UA"/>
        </w:rPr>
        <w:object w:dxaOrig="660" w:dyaOrig="340">
          <v:shape id="_x0000_i1039" type="#_x0000_t75" style="width:33pt;height:17.25pt" o:ole="">
            <v:imagedata r:id="rId31" o:title=""/>
          </v:shape>
          <o:OLEObject Type="Embed" ProgID="Equation.3" ShapeID="_x0000_i1039" DrawAspect="Content" ObjectID="_1458003550" r:id="rId32"/>
        </w:object>
      </w:r>
      <w:r>
        <w:rPr>
          <w:sz w:val="28"/>
          <w:lang w:val="uk-UA"/>
        </w:rPr>
        <w:t xml:space="preserve"> ступенях свободи і рвані довіри Р=0,99 </w:t>
      </w:r>
      <w:r>
        <w:rPr>
          <w:sz w:val="28"/>
          <w:lang w:val="en-US"/>
        </w:rPr>
        <w:t>F</w:t>
      </w:r>
      <w:r>
        <w:rPr>
          <w:sz w:val="28"/>
          <w:vertAlign w:val="subscript"/>
          <w:lang w:val="uk-UA"/>
        </w:rPr>
        <w:t>а=0,01</w:t>
      </w:r>
      <w:r>
        <w:rPr>
          <w:sz w:val="28"/>
          <w:lang w:val="uk-UA"/>
        </w:rPr>
        <w:t xml:space="preserve">=11. Оскільки </w:t>
      </w:r>
      <w:r>
        <w:rPr>
          <w:sz w:val="28"/>
          <w:lang w:val="en-US"/>
        </w:rPr>
        <w:t>R</w:t>
      </w:r>
      <w:r>
        <w:rPr>
          <w:sz w:val="28"/>
          <w:lang w:val="uk-UA"/>
        </w:rPr>
        <w:t>*&gt;</w:t>
      </w:r>
      <w:r>
        <w:rPr>
          <w:sz w:val="28"/>
          <w:lang w:val="en-US"/>
        </w:rPr>
        <w:t>F</w:t>
      </w:r>
      <w:r>
        <w:rPr>
          <w:sz w:val="28"/>
          <w:vertAlign w:val="subscript"/>
          <w:lang w:val="uk-UA"/>
        </w:rPr>
        <w:t>кр</w:t>
      </w:r>
      <w:r>
        <w:rPr>
          <w:sz w:val="28"/>
          <w:lang w:val="uk-UA"/>
        </w:rPr>
        <w:t>, то вихідні дані мають гетероскедастичність.</w:t>
      </w:r>
    </w:p>
    <w:p w:rsidR="006C6AF3" w:rsidRDefault="006C6AF3">
      <w:pPr>
        <w:spacing w:line="360" w:lineRule="auto"/>
        <w:ind w:left="360"/>
        <w:jc w:val="both"/>
        <w:rPr>
          <w:sz w:val="28"/>
          <w:lang w:val="uk-UA"/>
        </w:rPr>
      </w:pPr>
    </w:p>
    <w:p w:rsidR="006C6AF3" w:rsidRDefault="00972D84">
      <w:pPr>
        <w:pStyle w:val="2"/>
        <w:rPr>
          <w:sz w:val="36"/>
        </w:rPr>
      </w:pPr>
      <w:r>
        <w:rPr>
          <w:sz w:val="36"/>
        </w:rPr>
        <w:t>Непараметричний тести Гольдфельда-Кванта</w:t>
      </w:r>
    </w:p>
    <w:p w:rsidR="006C6AF3" w:rsidRDefault="00972D84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Гольдфельд і Квант для оцінювання наявності гетероскедастичності запропонували також непараметричний тест. Цей тест базується на числі піків у величини залишків після упорядкування спостережень за х</w:t>
      </w:r>
      <w:r>
        <w:rPr>
          <w:sz w:val="28"/>
          <w:vertAlign w:val="subscript"/>
          <w:lang w:val="en-US"/>
        </w:rPr>
        <w:t>ij</w:t>
      </w:r>
      <w:r>
        <w:rPr>
          <w:sz w:val="28"/>
          <w:lang w:val="uk-UA"/>
        </w:rPr>
        <w:t xml:space="preserve">. </w:t>
      </w:r>
    </w:p>
    <w:p w:rsidR="006C6AF3" w:rsidRDefault="00972D84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Закономірність зміни залишків, коли дисперсія є однорідною, - явище гемоскедастичності ілюструє рис. 1, а спостерігається явище гетероскедастичності.</w:t>
      </w:r>
    </w:p>
    <w:p w:rsidR="006C6AF3" w:rsidRDefault="00972D84">
      <w:pPr>
        <w:spacing w:line="360" w:lineRule="auto"/>
        <w:ind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>Цей тест, звичайно, не такий надійний, як параметричний, але від досить простий.</w:t>
      </w:r>
      <w:bookmarkStart w:id="0" w:name="_GoBack"/>
      <w:bookmarkEnd w:id="0"/>
    </w:p>
    <w:sectPr w:rsidR="006C6AF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C739F8"/>
    <w:multiLevelType w:val="multilevel"/>
    <w:tmpl w:val="984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75C02913"/>
    <w:multiLevelType w:val="multilevel"/>
    <w:tmpl w:val="0B3653E6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2D84"/>
    <w:rsid w:val="002E2A29"/>
    <w:rsid w:val="006C6AF3"/>
    <w:rsid w:val="00972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1"/>
    <o:shapelayout v:ext="edit">
      <o:idmap v:ext="edit" data="1"/>
    </o:shapelayout>
  </w:shapeDefaults>
  <w:decimalSymbol w:val=","/>
  <w:listSeparator w:val=";"/>
  <w15:chartTrackingRefBased/>
  <w15:docId w15:val="{D226BA6D-0363-4216-9A6E-1117F2422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08"/>
      <w:jc w:val="both"/>
    </w:pPr>
    <w:rPr>
      <w:sz w:val="28"/>
      <w:lang w:val="uk-UA"/>
    </w:rPr>
  </w:style>
  <w:style w:type="paragraph" w:styleId="2">
    <w:name w:val="Body Text Indent 2"/>
    <w:basedOn w:val="a"/>
    <w:semiHidden/>
    <w:pPr>
      <w:spacing w:line="360" w:lineRule="auto"/>
      <w:ind w:left="360"/>
      <w:jc w:val="center"/>
    </w:pPr>
    <w:rPr>
      <w:b/>
      <w:bCs/>
      <w:sz w:val="4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oleObject" Target="embeddings/oleObject5.bin"/><Relationship Id="rId18" Type="http://schemas.openxmlformats.org/officeDocument/2006/relationships/image" Target="media/image7.wmf"/><Relationship Id="rId26" Type="http://schemas.openxmlformats.org/officeDocument/2006/relationships/oleObject" Target="embeddings/oleObject12.bin"/><Relationship Id="rId3" Type="http://schemas.openxmlformats.org/officeDocument/2006/relationships/settings" Target="settings.xml"/><Relationship Id="rId21" Type="http://schemas.openxmlformats.org/officeDocument/2006/relationships/oleObject" Target="embeddings/oleObject9.bin"/><Relationship Id="rId34" Type="http://schemas.openxmlformats.org/officeDocument/2006/relationships/theme" Target="theme/theme1.xml"/><Relationship Id="rId7" Type="http://schemas.openxmlformats.org/officeDocument/2006/relationships/image" Target="media/image2.wmf"/><Relationship Id="rId12" Type="http://schemas.openxmlformats.org/officeDocument/2006/relationships/image" Target="media/image4.wmf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1.bin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4.bin"/><Relationship Id="rId24" Type="http://schemas.openxmlformats.org/officeDocument/2006/relationships/image" Target="media/image10.wmf"/><Relationship Id="rId32" Type="http://schemas.openxmlformats.org/officeDocument/2006/relationships/oleObject" Target="embeddings/oleObject15.bin"/><Relationship Id="rId5" Type="http://schemas.openxmlformats.org/officeDocument/2006/relationships/image" Target="media/image1.wmf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28" Type="http://schemas.openxmlformats.org/officeDocument/2006/relationships/oleObject" Target="embeddings/oleObject13.bin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8.bin"/><Relationship Id="rId31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image" Target="media/image11.wmf"/><Relationship Id="rId30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Параметричний тест Гольдфельда-Квандта</vt:lpstr>
    </vt:vector>
  </TitlesOfParts>
  <Manager>Промисловість</Manager>
  <Company>Промисловість</Company>
  <LinksUpToDate>false</LinksUpToDate>
  <CharactersWithSpaces>3590</CharactersWithSpaces>
  <SharedDoc>false</SharedDoc>
  <HyperlinkBase>Промисловість</HyperlinkBase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Параметричний тест Гольдфельда-Квандта</dc:title>
  <dc:subject>Промисловість</dc:subject>
  <dc:creator>Промисловість</dc:creator>
  <cp:keywords>Промисловість</cp:keywords>
  <dc:description>Промисловість</dc:description>
  <cp:lastModifiedBy>admin</cp:lastModifiedBy>
  <cp:revision>2</cp:revision>
  <dcterms:created xsi:type="dcterms:W3CDTF">2014-04-03T01:12:00Z</dcterms:created>
  <dcterms:modified xsi:type="dcterms:W3CDTF">2014-04-03T01:12:00Z</dcterms:modified>
  <cp:category>Промисловість</cp:category>
</cp:coreProperties>
</file>