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D7" w:rsidRDefault="00F60678">
      <w:r>
        <w:rPr>
          <w:b/>
          <w:u w:val="single"/>
        </w:rPr>
        <w:t>Парентеральное питание</w:t>
      </w:r>
      <w:r>
        <w:t xml:space="preserve"> – это особый вид заместительной терапии, при котором питательные вещества для восполнения энергетических, пластических затрат и поддержания нормального уровня обменных процессов вводят в организм, минуя желудочно-кишечный тракт.</w:t>
      </w:r>
    </w:p>
    <w:p w:rsidR="007115D7" w:rsidRDefault="00F60678">
      <w:r>
        <w:t>Сущность парентерального питания состоит в обеспечении организма всеми необходимыми для нормальной жизнедеятельности субстратами, участвующими в регуляции белкового, углеводного, жирового, водно-электролитного, витаминного обмена и кислотно-щелочного равновесия.</w:t>
      </w:r>
    </w:p>
    <w:p w:rsidR="007115D7" w:rsidRDefault="00F60678">
      <w:r>
        <w:t>Парентеральное питание может быть полным и неполным (частичным).</w:t>
      </w:r>
    </w:p>
    <w:p w:rsidR="007115D7" w:rsidRDefault="00F60678">
      <w:r>
        <w:t>Полное парентеральное питание обеспечивает весь объём суточной потребности организма в пластических и энергетических субстратах, а также поддержание необходимого уровня обменных процессов.</w:t>
      </w:r>
    </w:p>
    <w:p w:rsidR="007115D7" w:rsidRDefault="00F60678">
      <w:r>
        <w:t>Неполное парентеральное питание является вспомогательным и направлено на избирательное восполнение дефицита тех ингредиентов, поступление или усвоение которых не обеспечивается энтеральным путем.</w:t>
      </w:r>
    </w:p>
    <w:p w:rsidR="007115D7" w:rsidRDefault="007115D7"/>
    <w:p w:rsidR="007115D7" w:rsidRDefault="00F60678">
      <w:pPr>
        <w:ind w:firstLine="720"/>
        <w:outlineLvl w:val="0"/>
        <w:rPr>
          <w:b/>
        </w:rPr>
      </w:pPr>
      <w:r>
        <w:rPr>
          <w:b/>
        </w:rPr>
        <w:t>Основные принципы парентерального питания.</w:t>
      </w:r>
    </w:p>
    <w:p w:rsidR="007115D7" w:rsidRDefault="007115D7"/>
    <w:p w:rsidR="007115D7" w:rsidRDefault="00F60678">
      <w:r>
        <w:t>1. Своевременное начало проведения парентерального питания.</w:t>
      </w:r>
    </w:p>
    <w:p w:rsidR="007115D7" w:rsidRDefault="00F60678">
      <w:r>
        <w:t>2. Оптимальность срока проведения парентерального питания (до восстановления нормального трофического статуса).</w:t>
      </w:r>
    </w:p>
    <w:p w:rsidR="007115D7" w:rsidRDefault="00F60678">
      <w:r>
        <w:t>3. Адекватность (сбалансированность) парентерального питания по количеству вводимых питательных веществ и степени их усвоения.</w:t>
      </w:r>
    </w:p>
    <w:p w:rsidR="007115D7" w:rsidRDefault="00F60678">
      <w:r>
        <w:t>Исходя из этого, средства для парентерального питания должны соответствовать нескольким основным требованиям:</w:t>
      </w:r>
    </w:p>
    <w:p w:rsidR="007115D7" w:rsidRDefault="00F60678">
      <w:pPr>
        <w:numPr>
          <w:ilvl w:val="0"/>
          <w:numId w:val="5"/>
        </w:numPr>
      </w:pPr>
      <w:r>
        <w:t>питательным действием, то есть иметь в своем составе все необходимые для организма вещества в достаточном количестве и надлежащих соотношениях друг с другом;</w:t>
      </w:r>
    </w:p>
    <w:p w:rsidR="007115D7" w:rsidRDefault="00F60678">
      <w:pPr>
        <w:numPr>
          <w:ilvl w:val="0"/>
          <w:numId w:val="5"/>
        </w:numPr>
      </w:pPr>
      <w:r>
        <w:t>пополнять организм жидкостью, так как многие состояния сопровождаются обезвоживанием организма;</w:t>
      </w:r>
    </w:p>
    <w:p w:rsidR="007115D7" w:rsidRDefault="00F60678">
      <w:pPr>
        <w:numPr>
          <w:ilvl w:val="0"/>
          <w:numId w:val="5"/>
        </w:numPr>
      </w:pPr>
      <w:r>
        <w:t>желательно наличие дезинтоксикационного и стимулирующего действия;</w:t>
      </w:r>
    </w:p>
    <w:p w:rsidR="007115D7" w:rsidRDefault="00F60678">
      <w:pPr>
        <w:numPr>
          <w:ilvl w:val="0"/>
          <w:numId w:val="5"/>
        </w:numPr>
      </w:pPr>
      <w:r>
        <w:t>заместительное и противошоковое действие;</w:t>
      </w:r>
    </w:p>
    <w:p w:rsidR="007115D7" w:rsidRDefault="00F60678">
      <w:pPr>
        <w:numPr>
          <w:ilvl w:val="0"/>
          <w:numId w:val="5"/>
        </w:numPr>
      </w:pPr>
      <w:r>
        <w:t>безвредность;</w:t>
      </w:r>
    </w:p>
    <w:p w:rsidR="007115D7" w:rsidRDefault="00F60678">
      <w:pPr>
        <w:numPr>
          <w:ilvl w:val="0"/>
          <w:numId w:val="5"/>
        </w:numPr>
      </w:pPr>
      <w:r>
        <w:t xml:space="preserve">удобство применения. </w:t>
      </w:r>
    </w:p>
    <w:p w:rsidR="007115D7" w:rsidRDefault="007115D7"/>
    <w:p w:rsidR="007115D7" w:rsidRDefault="00F60678">
      <w:pPr>
        <w:outlineLvl w:val="0"/>
        <w:rPr>
          <w:b/>
        </w:rPr>
      </w:pPr>
      <w:r>
        <w:tab/>
      </w:r>
      <w:r>
        <w:tab/>
      </w:r>
      <w:r>
        <w:tab/>
      </w:r>
      <w:r>
        <w:rPr>
          <w:b/>
        </w:rPr>
        <w:t>Показания.</w:t>
      </w:r>
    </w:p>
    <w:p w:rsidR="007115D7" w:rsidRDefault="007115D7"/>
    <w:p w:rsidR="007115D7" w:rsidRDefault="00F60678">
      <w:r>
        <w:t xml:space="preserve">Главным объективным критерием для применения парентерального питания является выраженный отрицательный азотистый баланс, который не удаётся корригировать энтеральным путём. Средняя суточная потеря азота у больных реанимационного профиля составляет от 15 до 32 г, что соответствует потерям 94-200 г тканевого белка или 375-800 г мышечной ткани. </w:t>
      </w:r>
    </w:p>
    <w:p w:rsidR="007115D7" w:rsidRDefault="00F60678">
      <w:r>
        <w:t>Полное парентеральное питание показано во всех случаях, когда невозможно принятие пищи естественным путём или через зонд, что сопровождается усилением катаболических и угнетением анаболических процессов, а также отрицательным азотистым балансом:</w:t>
      </w:r>
    </w:p>
    <w:p w:rsidR="007115D7" w:rsidRDefault="00F60678">
      <w:pPr>
        <w:numPr>
          <w:ilvl w:val="0"/>
          <w:numId w:val="1"/>
        </w:numPr>
      </w:pPr>
      <w:r>
        <w:t>в предоперационном периоде у больных с явлениями полного или частичного голодания при заболеваниях ЖКТ в случаях функционального или органического поражения его с нарушением пищеварения и резорбции;</w:t>
      </w:r>
    </w:p>
    <w:p w:rsidR="007115D7" w:rsidRDefault="00F60678">
      <w:pPr>
        <w:numPr>
          <w:ilvl w:val="0"/>
          <w:numId w:val="1"/>
        </w:numPr>
      </w:pPr>
      <w:r>
        <w:t>в послеоперационном периоде после обширных операций на органах брюшной полости или осложнённом его течении (несостоятельность анастомозов, свищи, перитонит, сепсис);</w:t>
      </w:r>
    </w:p>
    <w:p w:rsidR="007115D7" w:rsidRDefault="00F60678">
      <w:pPr>
        <w:numPr>
          <w:ilvl w:val="0"/>
          <w:numId w:val="1"/>
        </w:numPr>
      </w:pPr>
      <w:r>
        <w:t>в посттравматическом периоде (тяжёлые ожоги, множественные травмы);</w:t>
      </w:r>
    </w:p>
    <w:p w:rsidR="007115D7" w:rsidRDefault="00F60678">
      <w:pPr>
        <w:numPr>
          <w:ilvl w:val="0"/>
          <w:numId w:val="1"/>
        </w:numPr>
      </w:pPr>
      <w:r>
        <w:t>при усиленном распаде белка или нарушении его синтеза (гипертермия, недостаточность функций печени, почек и др.);</w:t>
      </w:r>
    </w:p>
    <w:p w:rsidR="007115D7" w:rsidRDefault="00F60678">
      <w:pPr>
        <w:numPr>
          <w:ilvl w:val="0"/>
          <w:numId w:val="1"/>
        </w:numPr>
      </w:pPr>
      <w:r>
        <w:t>реанимационным больным, когда больной длительное время не приходит в сознание или резко нарушена деятельность ЖКТ (поражения ЦНС, столбняк, острые отравления, коматозные состояния др.)</w:t>
      </w:r>
    </w:p>
    <w:p w:rsidR="007115D7" w:rsidRDefault="00F60678">
      <w:pPr>
        <w:numPr>
          <w:ilvl w:val="0"/>
          <w:numId w:val="1"/>
        </w:numPr>
      </w:pPr>
      <w:r>
        <w:t xml:space="preserve"> при инфекционных заболеваниях (холера, дизентерия);</w:t>
      </w:r>
    </w:p>
    <w:p w:rsidR="007115D7" w:rsidRDefault="00F60678">
      <w:pPr>
        <w:numPr>
          <w:ilvl w:val="0"/>
          <w:numId w:val="1"/>
        </w:numPr>
      </w:pPr>
      <w:r>
        <w:t>при нервно-психических заболеваниях в случаях анорексии, рвоты, отказа от пищи.</w:t>
      </w:r>
    </w:p>
    <w:p w:rsidR="007115D7" w:rsidRDefault="007115D7"/>
    <w:p w:rsidR="007115D7" w:rsidRDefault="00F60678">
      <w:pPr>
        <w:ind w:left="2160"/>
        <w:rPr>
          <w:b/>
        </w:rPr>
      </w:pPr>
      <w:r>
        <w:rPr>
          <w:b/>
        </w:rPr>
        <w:t>Противопоказания.</w:t>
      </w:r>
    </w:p>
    <w:p w:rsidR="007115D7" w:rsidRDefault="007115D7"/>
    <w:p w:rsidR="007115D7" w:rsidRDefault="00F60678">
      <w:r>
        <w:t>Противопоказания к применению отдельных препаратов для парентерального питания определяют характер и глубина патологических изменений в организме, обусловленных основным и сопутствующими заболеваниями.</w:t>
      </w:r>
    </w:p>
    <w:p w:rsidR="007115D7" w:rsidRDefault="00F60678">
      <w:r>
        <w:t>При печёночной или почечной недостаточности противопоказаны аминокислотные смеси и жировые эмульсии; при гиперлипидемии, липоидном нефрозе, признаках посттравматической жировой эмболии, остром инфаркте миокарда, отёке головного мозга, сахарном диабете, в первые 5-6 суток постреанимационного периода и при нарушении коагулирующих свойств крови – жировые эмульсии.</w:t>
      </w:r>
    </w:p>
    <w:p w:rsidR="007115D7" w:rsidRDefault="00F60678">
      <w:r>
        <w:t>Необходимо соблюдать осторожность у больных с аллергическими заболеваниями.</w:t>
      </w:r>
    </w:p>
    <w:p w:rsidR="007115D7" w:rsidRDefault="007115D7"/>
    <w:p w:rsidR="007115D7" w:rsidRDefault="00F60678">
      <w:r>
        <w:t>В условиях прекращения или ограничения поступления питательных веществ экзогенным путём вступает в действие важнейший приспособительный механизм: мобилизация легко мобильных запасов углеводов, жиров и интенсивное расщепление белка до аминокислот с последующим превращением их в углеводы. Такая метаболическая активность, будучи вначале целесообразной, призванной обеспечить жизнедеятельность, в последующем весьма отрицательно сказывается на течении всех жизненных процессов. Поэтому с биологической точки зрения выгоднее покрыть потребности организма не за счёт распада собственных тканей, а за счёт экзогенного поступления питательных веществ. В терминальных состояниях имеются некоторые особенности обмена веществ по сравнению с обычным голоданием.</w:t>
      </w:r>
    </w:p>
    <w:p w:rsidR="007115D7" w:rsidRDefault="007115D7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3025"/>
      </w:tblGrid>
      <w:tr w:rsidR="007115D7">
        <w:tc>
          <w:tcPr>
            <w:tcW w:w="1809" w:type="dxa"/>
          </w:tcPr>
          <w:p w:rsidR="007115D7" w:rsidRDefault="00F60678">
            <w:pPr>
              <w:rPr>
                <w:sz w:val="22"/>
              </w:rPr>
            </w:pPr>
            <w:r>
              <w:rPr>
                <w:sz w:val="22"/>
              </w:rPr>
              <w:t>Виды обмена</w:t>
            </w:r>
          </w:p>
        </w:tc>
        <w:tc>
          <w:tcPr>
            <w:tcW w:w="3686" w:type="dxa"/>
          </w:tcPr>
          <w:p w:rsidR="007115D7" w:rsidRDefault="00F60678">
            <w:pPr>
              <w:rPr>
                <w:sz w:val="22"/>
              </w:rPr>
            </w:pPr>
            <w:r>
              <w:rPr>
                <w:sz w:val="22"/>
              </w:rPr>
              <w:t>Постагрессивная реакция</w:t>
            </w:r>
          </w:p>
        </w:tc>
        <w:tc>
          <w:tcPr>
            <w:tcW w:w="3025" w:type="dxa"/>
          </w:tcPr>
          <w:p w:rsidR="007115D7" w:rsidRDefault="00F60678">
            <w:pPr>
              <w:rPr>
                <w:sz w:val="22"/>
              </w:rPr>
            </w:pPr>
            <w:r>
              <w:rPr>
                <w:sz w:val="22"/>
              </w:rPr>
              <w:t>Простое голодание</w:t>
            </w:r>
          </w:p>
          <w:p w:rsidR="007115D7" w:rsidRDefault="007115D7">
            <w:pPr>
              <w:rPr>
                <w:sz w:val="22"/>
              </w:rPr>
            </w:pPr>
          </w:p>
        </w:tc>
      </w:tr>
      <w:tr w:rsidR="007115D7">
        <w:tc>
          <w:tcPr>
            <w:tcW w:w="1809" w:type="dxa"/>
          </w:tcPr>
          <w:p w:rsidR="007115D7" w:rsidRDefault="00F60678">
            <w:pPr>
              <w:rPr>
                <w:sz w:val="22"/>
              </w:rPr>
            </w:pPr>
            <w:r>
              <w:rPr>
                <w:sz w:val="22"/>
              </w:rPr>
              <w:t>Белковый обмен</w:t>
            </w:r>
          </w:p>
        </w:tc>
        <w:tc>
          <w:tcPr>
            <w:tcW w:w="3686" w:type="dxa"/>
          </w:tcPr>
          <w:p w:rsidR="007115D7" w:rsidRDefault="00F60678">
            <w:pPr>
              <w:rPr>
                <w:sz w:val="22"/>
              </w:rPr>
            </w:pPr>
            <w:r>
              <w:rPr>
                <w:sz w:val="22"/>
              </w:rPr>
              <w:t>Потеря азота с мочой возрастает сразу, но уменьшается по мере возрастания глюконеогенеза из запасов мобильных белков ( альбумин, мышечные протеины), относительная сохранность белков печени.</w:t>
            </w:r>
          </w:p>
        </w:tc>
        <w:tc>
          <w:tcPr>
            <w:tcW w:w="3025" w:type="dxa"/>
          </w:tcPr>
          <w:p w:rsidR="007115D7" w:rsidRDefault="00F60678">
            <w:pPr>
              <w:rPr>
                <w:sz w:val="22"/>
              </w:rPr>
            </w:pPr>
            <w:r>
              <w:rPr>
                <w:sz w:val="22"/>
              </w:rPr>
              <w:t>По мере адаптации к голоданию уровень потерь азота может снижаться. Уменьшение мышечного глюконеогенеза сохраняет белок мышц при сокращении запасов белка печени.</w:t>
            </w:r>
          </w:p>
        </w:tc>
      </w:tr>
      <w:tr w:rsidR="007115D7">
        <w:tc>
          <w:tcPr>
            <w:tcW w:w="1809" w:type="dxa"/>
          </w:tcPr>
          <w:p w:rsidR="007115D7" w:rsidRDefault="00F60678">
            <w:pPr>
              <w:rPr>
                <w:sz w:val="22"/>
              </w:rPr>
            </w:pPr>
            <w:r>
              <w:rPr>
                <w:sz w:val="22"/>
              </w:rPr>
              <w:t>Жировой обмен</w:t>
            </w:r>
          </w:p>
        </w:tc>
        <w:tc>
          <w:tcPr>
            <w:tcW w:w="3686" w:type="dxa"/>
          </w:tcPr>
          <w:p w:rsidR="007115D7" w:rsidRDefault="00F60678">
            <w:pPr>
              <w:rPr>
                <w:sz w:val="22"/>
              </w:rPr>
            </w:pPr>
            <w:r>
              <w:rPr>
                <w:sz w:val="22"/>
              </w:rPr>
              <w:t>Резкое возрастание окисления жировых резервов. Повышение уровня свободных жирных кислот в крови. Кетонемия выражена умеренно.</w:t>
            </w:r>
          </w:p>
        </w:tc>
        <w:tc>
          <w:tcPr>
            <w:tcW w:w="3025" w:type="dxa"/>
          </w:tcPr>
          <w:p w:rsidR="007115D7" w:rsidRDefault="00F60678">
            <w:pPr>
              <w:rPr>
                <w:sz w:val="22"/>
              </w:rPr>
            </w:pPr>
            <w:r>
              <w:rPr>
                <w:sz w:val="22"/>
              </w:rPr>
              <w:t>Энергопотребность покрывается жирами только в поздних стадиях голодания. Тогда же происходит адаптация головного мозга, мышц, эритроцитов к усвоению кетоновых тел в качестве источника энергии.</w:t>
            </w:r>
          </w:p>
        </w:tc>
      </w:tr>
      <w:tr w:rsidR="007115D7">
        <w:tc>
          <w:tcPr>
            <w:tcW w:w="1809" w:type="dxa"/>
          </w:tcPr>
          <w:p w:rsidR="007115D7" w:rsidRDefault="00F60678">
            <w:pPr>
              <w:rPr>
                <w:sz w:val="22"/>
              </w:rPr>
            </w:pPr>
            <w:r>
              <w:rPr>
                <w:sz w:val="22"/>
              </w:rPr>
              <w:t>Углеводный обмен</w:t>
            </w:r>
          </w:p>
        </w:tc>
        <w:tc>
          <w:tcPr>
            <w:tcW w:w="3686" w:type="dxa"/>
          </w:tcPr>
          <w:p w:rsidR="007115D7" w:rsidRDefault="00F60678">
            <w:pPr>
              <w:rPr>
                <w:sz w:val="22"/>
              </w:rPr>
            </w:pPr>
            <w:r>
              <w:rPr>
                <w:sz w:val="22"/>
              </w:rPr>
              <w:t>Тканевое окисление глюкозы усиливается на фоне возрастания гликемии.</w:t>
            </w:r>
          </w:p>
        </w:tc>
        <w:tc>
          <w:tcPr>
            <w:tcW w:w="3025" w:type="dxa"/>
          </w:tcPr>
          <w:p w:rsidR="007115D7" w:rsidRDefault="00F60678">
            <w:pPr>
              <w:rPr>
                <w:sz w:val="22"/>
              </w:rPr>
            </w:pPr>
            <w:r>
              <w:rPr>
                <w:sz w:val="22"/>
              </w:rPr>
              <w:t>Тканевое окисление глюкозы снижается.</w:t>
            </w:r>
          </w:p>
        </w:tc>
      </w:tr>
      <w:tr w:rsidR="007115D7">
        <w:tc>
          <w:tcPr>
            <w:tcW w:w="1809" w:type="dxa"/>
          </w:tcPr>
          <w:p w:rsidR="007115D7" w:rsidRDefault="00F60678">
            <w:pPr>
              <w:rPr>
                <w:sz w:val="22"/>
              </w:rPr>
            </w:pPr>
            <w:r>
              <w:rPr>
                <w:sz w:val="22"/>
              </w:rPr>
              <w:t>Гормональная реакция</w:t>
            </w:r>
          </w:p>
        </w:tc>
        <w:tc>
          <w:tcPr>
            <w:tcW w:w="3686" w:type="dxa"/>
          </w:tcPr>
          <w:p w:rsidR="007115D7" w:rsidRDefault="00F60678">
            <w:pPr>
              <w:rPr>
                <w:sz w:val="22"/>
              </w:rPr>
            </w:pPr>
            <w:r>
              <w:rPr>
                <w:sz w:val="22"/>
              </w:rPr>
              <w:t>Значительно увеличивается уровень стрессовых гормонов – катехоламинов, кортикостероидов, глюкагона, гормона роста. Увеличивается резистентность к инсулину, иногда при увеличении его продукции.</w:t>
            </w:r>
          </w:p>
        </w:tc>
        <w:tc>
          <w:tcPr>
            <w:tcW w:w="3025" w:type="dxa"/>
          </w:tcPr>
          <w:p w:rsidR="007115D7" w:rsidRDefault="00F60678">
            <w:pPr>
              <w:rPr>
                <w:sz w:val="22"/>
              </w:rPr>
            </w:pPr>
            <w:r>
              <w:rPr>
                <w:sz w:val="22"/>
              </w:rPr>
              <w:t>Повышение уровня катехоламинов и гормона роста в начале голодания. Угнетение инкреторной активности поджелудочной железы, снижение уровня инсулина в крови.</w:t>
            </w:r>
          </w:p>
        </w:tc>
      </w:tr>
      <w:tr w:rsidR="007115D7">
        <w:tc>
          <w:tcPr>
            <w:tcW w:w="1809" w:type="dxa"/>
          </w:tcPr>
          <w:p w:rsidR="007115D7" w:rsidRDefault="00F60678">
            <w:pPr>
              <w:rPr>
                <w:sz w:val="22"/>
              </w:rPr>
            </w:pPr>
            <w:r>
              <w:rPr>
                <w:sz w:val="22"/>
              </w:rPr>
              <w:t>Основной обмен</w:t>
            </w:r>
          </w:p>
        </w:tc>
        <w:tc>
          <w:tcPr>
            <w:tcW w:w="3686" w:type="dxa"/>
          </w:tcPr>
          <w:p w:rsidR="007115D7" w:rsidRDefault="00F60678">
            <w:pPr>
              <w:rPr>
                <w:sz w:val="22"/>
              </w:rPr>
            </w:pPr>
            <w:r>
              <w:rPr>
                <w:sz w:val="22"/>
              </w:rPr>
              <w:t>Возрастает на 10-12%, при ожогах, сепсисе, ЧМТ, более, чем в 2 раза.</w:t>
            </w:r>
          </w:p>
        </w:tc>
        <w:tc>
          <w:tcPr>
            <w:tcW w:w="3025" w:type="dxa"/>
          </w:tcPr>
          <w:p w:rsidR="007115D7" w:rsidRDefault="00F60678">
            <w:pPr>
              <w:rPr>
                <w:sz w:val="22"/>
              </w:rPr>
            </w:pPr>
            <w:r>
              <w:rPr>
                <w:sz w:val="22"/>
              </w:rPr>
              <w:t>Заметное снижение.</w:t>
            </w:r>
          </w:p>
        </w:tc>
      </w:tr>
    </w:tbl>
    <w:p w:rsidR="007115D7" w:rsidRDefault="007115D7"/>
    <w:p w:rsidR="007115D7" w:rsidRDefault="00F60678">
      <w:r>
        <w:t>Принципиальное отличие физиологической адаптации к голоданию от приспособительных реакций при терминальных состояниях состоит в том, что в первом случае отмечается адаптивное снижение потребности в энергии, а во втором – потребление энергии значительно возрастает.</w:t>
      </w:r>
    </w:p>
    <w:p w:rsidR="007115D7" w:rsidRDefault="00F60678">
      <w:r>
        <w:t>Поэтому в постагрессивных состояниях следует избегать отрицательного азотистого баланса, так как белковое истощение в конечном итоге приводит к смерти, которая наступает при потере более 30% общего азота организма.</w:t>
      </w:r>
    </w:p>
    <w:p w:rsidR="007115D7" w:rsidRDefault="007115D7"/>
    <w:p w:rsidR="007115D7" w:rsidRDefault="00F60678">
      <w:r>
        <w:t>При проведении парентерального питания неоходимо учитывать индивидуальные особенности больного, характер заболевания, обмена веществ, а также энергетические потребности организма. Для этого проводится ряд исследований.</w:t>
      </w:r>
    </w:p>
    <w:p w:rsidR="007115D7" w:rsidRDefault="00F60678">
      <w:pPr>
        <w:pStyle w:val="a5"/>
        <w:ind w:firstLine="0"/>
      </w:pPr>
      <w:r>
        <w:t>Во-первых, оценка питания и контроль адекватности парентерального питания.</w:t>
      </w:r>
    </w:p>
    <w:p w:rsidR="007115D7" w:rsidRDefault="00F60678">
      <w:r>
        <w:t>Целью является определение типа и степени нарушения питания, а также потребности в питательной поддержке.</w:t>
      </w:r>
    </w:p>
    <w:p w:rsidR="007115D7" w:rsidRDefault="00F60678">
      <w:r>
        <w:t>Состояние питания в последние годы оценивается на основании определения трофического или трофологического статуса, который рассматривается как показатель физического развития и здоровья. Трофическая недостаточность устанавливается на основании анамнеза, соматометрических, лабораторных и клинико-функциональных показателей.</w:t>
      </w:r>
    </w:p>
    <w:p w:rsidR="007115D7" w:rsidRDefault="00F60678">
      <w:pPr>
        <w:numPr>
          <w:ilvl w:val="0"/>
          <w:numId w:val="3"/>
        </w:numPr>
      </w:pPr>
      <w:r>
        <w:t>Соматометрические показатели являются наиболее доступными и включают в себя измерение массы тела, окружности плеча, толщины кожно-жировой складки и массо-ростовой индекс.</w:t>
      </w:r>
    </w:p>
    <w:p w:rsidR="007115D7" w:rsidRDefault="00F60678">
      <w:pPr>
        <w:numPr>
          <w:ilvl w:val="0"/>
          <w:numId w:val="3"/>
        </w:numPr>
      </w:pPr>
      <w:r>
        <w:t>Лабораторные тесты.</w:t>
      </w:r>
    </w:p>
    <w:p w:rsidR="007115D7" w:rsidRDefault="00F60678">
      <w:pPr>
        <w:numPr>
          <w:ilvl w:val="0"/>
          <w:numId w:val="4"/>
        </w:numPr>
      </w:pPr>
      <w:r>
        <w:t xml:space="preserve">сывороточный альбумин. При снижении его ниже 35 </w:t>
      </w:r>
      <w:r>
        <w:rPr>
          <w:vertAlign w:val="superscript"/>
        </w:rPr>
        <w:t>г</w:t>
      </w:r>
      <w:r>
        <w:t>/</w:t>
      </w:r>
      <w:r>
        <w:rPr>
          <w:vertAlign w:val="subscript"/>
        </w:rPr>
        <w:t>л</w:t>
      </w:r>
      <w:r>
        <w:t xml:space="preserve"> число осложнений увеличивается в 4 раза, летальность в 6 раз.</w:t>
      </w:r>
    </w:p>
    <w:p w:rsidR="007115D7" w:rsidRDefault="00F60678">
      <w:pPr>
        <w:numPr>
          <w:ilvl w:val="0"/>
          <w:numId w:val="4"/>
        </w:numPr>
      </w:pPr>
      <w:r>
        <w:t>сывороточный трансферрин (СТ), который расчитывается по объёму железосвязывающей способности плазмы крови (ОЖСС):</w:t>
      </w:r>
    </w:p>
    <w:p w:rsidR="007115D7" w:rsidRDefault="00F60678">
      <w:pPr>
        <w:ind w:left="2160"/>
        <w:outlineLvl w:val="0"/>
      </w:pPr>
      <w:r>
        <w:t>СТ=(0,8-ОЖСС)</w:t>
      </w:r>
      <w:r>
        <w:sym w:font="Symbol" w:char="F02A"/>
      </w:r>
      <w:r>
        <w:t>43</w:t>
      </w:r>
    </w:p>
    <w:p w:rsidR="007115D7" w:rsidRDefault="00F60678">
      <w:pPr>
        <w:outlineLvl w:val="0"/>
      </w:pPr>
      <w:r>
        <w:t>Снижение его свидетельствует об истощении висцерального белка (норма 2</w:t>
      </w:r>
      <w:r>
        <w:rPr>
          <w:vertAlign w:val="superscript"/>
        </w:rPr>
        <w:t>г</w:t>
      </w:r>
      <w:r>
        <w:t>/</w:t>
      </w:r>
      <w:r>
        <w:rPr>
          <w:vertAlign w:val="subscript"/>
        </w:rPr>
        <w:t>л</w:t>
      </w:r>
      <w:r>
        <w:t xml:space="preserve"> и более).</w:t>
      </w:r>
    </w:p>
    <w:p w:rsidR="007115D7" w:rsidRDefault="00F60678">
      <w:pPr>
        <w:numPr>
          <w:ilvl w:val="0"/>
          <w:numId w:val="4"/>
        </w:numPr>
      </w:pPr>
      <w:r>
        <w:t>экскреция креатинина, мочевины, 3-метилгистидина(3-МГ) с мочой. Уменьшение содержания креатинина и 3-МГ экскретируемых с мочой, указывает на дефицит мышечного белка.</w:t>
      </w:r>
    </w:p>
    <w:p w:rsidR="007115D7" w:rsidRDefault="00F60678">
      <w:r>
        <w:t xml:space="preserve">Соотношение </w:t>
      </w:r>
      <w:r>
        <w:rPr>
          <w:vertAlign w:val="superscript"/>
        </w:rPr>
        <w:t>3-МГ</w:t>
      </w:r>
      <w:r>
        <w:t>/</w:t>
      </w:r>
      <w:r>
        <w:rPr>
          <w:sz w:val="28"/>
          <w:vertAlign w:val="subscript"/>
        </w:rPr>
        <w:t>креатинин</w:t>
      </w:r>
      <w:r>
        <w:rPr>
          <w:vertAlign w:val="subscript"/>
        </w:rPr>
        <w:t xml:space="preserve"> </w:t>
      </w:r>
      <w:r>
        <w:t>отражает направление обменных процессов в сторону анаболизма или катаболизма и эффективность парентерального питания по коррекции белковой недостаточности (выделение с мочой 4,2 мкМ 3-МГ соответствует распаду 1 г мышечного белка).</w:t>
      </w:r>
    </w:p>
    <w:p w:rsidR="007115D7" w:rsidRDefault="00F60678">
      <w:r>
        <w:t xml:space="preserve">-    контроль концентрации глюкозы в крови и в моче: появление сахара в моче и повышение концентрации глюкозы в крови более 2 </w:t>
      </w:r>
      <w:r>
        <w:rPr>
          <w:vertAlign w:val="superscript"/>
        </w:rPr>
        <w:t>г</w:t>
      </w:r>
      <w:r>
        <w:t>/</w:t>
      </w:r>
      <w:r>
        <w:rPr>
          <w:vertAlign w:val="subscript"/>
        </w:rPr>
        <w:t>л</w:t>
      </w:r>
      <w:r>
        <w:t xml:space="preserve"> требует не столько увеличения дозы инсулина, сколько уменьшения количества вводимой глюкозы </w:t>
      </w:r>
    </w:p>
    <w:p w:rsidR="007115D7" w:rsidRDefault="00F60678">
      <w:pPr>
        <w:numPr>
          <w:ilvl w:val="0"/>
          <w:numId w:val="4"/>
        </w:numPr>
      </w:pPr>
      <w:r>
        <w:t>иммунологические показатели.</w:t>
      </w:r>
    </w:p>
    <w:p w:rsidR="007115D7" w:rsidRDefault="00F60678">
      <w:pPr>
        <w:numPr>
          <w:ilvl w:val="0"/>
          <w:numId w:val="3"/>
        </w:numPr>
      </w:pPr>
      <w:r>
        <w:t>Клинико-функциональные показатели: снижение тургора тканей, наличие трещин, отёков и др.</w:t>
      </w:r>
    </w:p>
    <w:p w:rsidR="007115D7" w:rsidRDefault="007115D7"/>
    <w:p w:rsidR="007115D7" w:rsidRDefault="00F60678">
      <w:pPr>
        <w:outlineLvl w:val="0"/>
        <w:rPr>
          <w:b/>
        </w:rPr>
      </w:pPr>
      <w:r>
        <w:rPr>
          <w:b/>
        </w:rPr>
        <w:t>Во-вторых, энергетические и другие потребности организма.</w:t>
      </w:r>
    </w:p>
    <w:p w:rsidR="007115D7" w:rsidRDefault="00F60678">
      <w:pPr>
        <w:outlineLvl w:val="0"/>
      </w:pPr>
      <w:r>
        <w:t>Энергетические затраты находятся в пределах 1500-3000 ккал.</w:t>
      </w:r>
    </w:p>
    <w:p w:rsidR="007115D7" w:rsidRDefault="00F60678">
      <w:r>
        <w:t>Составление программы парентерального питания основывается на определении индивидуальной основной энергетической потребности (ОЭП) с учетом пола, возраста, роста, массы тела, которая определяется по таблицам или рассчитывается по формуле Гарриса-Бенедикта:</w:t>
      </w:r>
    </w:p>
    <w:p w:rsidR="007115D7" w:rsidRDefault="00F60678">
      <w:r>
        <w:t>для мужчин ОЭП(ккал)=66+(13,7</w:t>
      </w:r>
      <w:r>
        <w:sym w:font="Symbol" w:char="F02A"/>
      </w:r>
      <w:r>
        <w:t>М)+(5</w:t>
      </w:r>
      <w:r>
        <w:sym w:font="Symbol" w:char="F02A"/>
      </w:r>
      <w:r>
        <w:t>Р)+(6,8</w:t>
      </w:r>
      <w:r>
        <w:sym w:font="Symbol" w:char="F02A"/>
      </w:r>
      <w:r>
        <w:t>В);</w:t>
      </w:r>
    </w:p>
    <w:p w:rsidR="007115D7" w:rsidRDefault="00F60678">
      <w:r>
        <w:t>для женщин ОЭП(ккал)=65,5+(9,6</w:t>
      </w:r>
      <w:r>
        <w:sym w:font="Symbol" w:char="F02A"/>
      </w:r>
      <w:r>
        <w:t>М)+(1,7</w:t>
      </w:r>
      <w:r>
        <w:sym w:font="Symbol" w:char="F02A"/>
      </w:r>
      <w:r>
        <w:t>Р)+(4,7</w:t>
      </w:r>
      <w:r>
        <w:sym w:font="Symbol" w:char="F02A"/>
      </w:r>
      <w:r>
        <w:t>В), где</w:t>
      </w:r>
    </w:p>
    <w:p w:rsidR="007115D7" w:rsidRDefault="00F60678">
      <w:r>
        <w:t>М – фактическая масса тела в кг, Р – рост в см, В – возраст в годах.</w:t>
      </w:r>
    </w:p>
    <w:p w:rsidR="007115D7" w:rsidRDefault="00F60678">
      <w:r>
        <w:t>Для различных условий энергетическая потребность вычисляется путём умножением ОЭП на различные коэффициенты:</w:t>
      </w:r>
    </w:p>
    <w:p w:rsidR="007115D7" w:rsidRDefault="00F60678">
      <w:pPr>
        <w:numPr>
          <w:ilvl w:val="0"/>
          <w:numId w:val="4"/>
        </w:numPr>
      </w:pPr>
      <w:r>
        <w:t>состояние покоя на койке - 1,2</w:t>
      </w:r>
    </w:p>
    <w:p w:rsidR="007115D7" w:rsidRDefault="00F60678">
      <w:pPr>
        <w:numPr>
          <w:ilvl w:val="0"/>
          <w:numId w:val="4"/>
        </w:numPr>
      </w:pPr>
      <w:r>
        <w:t>амбулаторные условия - 1,3</w:t>
      </w:r>
    </w:p>
    <w:p w:rsidR="007115D7" w:rsidRDefault="00F60678">
      <w:pPr>
        <w:numPr>
          <w:ilvl w:val="0"/>
          <w:numId w:val="4"/>
        </w:numPr>
      </w:pPr>
      <w:r>
        <w:t>анаболические состояния - 1,5</w:t>
      </w:r>
    </w:p>
    <w:p w:rsidR="007115D7" w:rsidRDefault="00F60678">
      <w:r>
        <w:t>при стрессовых ситуациях интенсивность энергопотребления изменяется, и в зависимости от состояния больного суточная потребность в энергии предположительно может быть следующей:</w:t>
      </w:r>
    </w:p>
    <w:p w:rsidR="007115D7" w:rsidRDefault="00F60678">
      <w:pPr>
        <w:numPr>
          <w:ilvl w:val="0"/>
          <w:numId w:val="4"/>
        </w:numPr>
      </w:pPr>
      <w:r>
        <w:t xml:space="preserve">после плановых абдоминальных операций - 30-40 </w:t>
      </w:r>
      <w:r>
        <w:rPr>
          <w:vertAlign w:val="superscript"/>
        </w:rPr>
        <w:t>ккал</w:t>
      </w:r>
      <w:r>
        <w:t>/</w:t>
      </w:r>
      <w:r>
        <w:rPr>
          <w:vertAlign w:val="subscript"/>
        </w:rPr>
        <w:t>кг</w:t>
      </w:r>
    </w:p>
    <w:p w:rsidR="007115D7" w:rsidRDefault="00F60678">
      <w:pPr>
        <w:numPr>
          <w:ilvl w:val="0"/>
          <w:numId w:val="4"/>
        </w:numPr>
      </w:pPr>
      <w:r>
        <w:t>после радикальных операций по поводу рака - 50-60</w:t>
      </w:r>
    </w:p>
    <w:p w:rsidR="007115D7" w:rsidRDefault="00F60678">
      <w:pPr>
        <w:numPr>
          <w:ilvl w:val="0"/>
          <w:numId w:val="4"/>
        </w:numPr>
      </w:pPr>
      <w:r>
        <w:t>при тяжелых механических скелетных травмах - 50-70</w:t>
      </w:r>
    </w:p>
    <w:p w:rsidR="007115D7" w:rsidRDefault="00F60678">
      <w:pPr>
        <w:numPr>
          <w:ilvl w:val="0"/>
          <w:numId w:val="4"/>
        </w:numPr>
      </w:pPr>
      <w:r>
        <w:t>при ЧМТ - 60-80.</w:t>
      </w:r>
    </w:p>
    <w:p w:rsidR="007115D7" w:rsidRDefault="00F60678">
      <w:r>
        <w:t>Фактические энергозатраты можно определить по количеству потребленного кислорода и выделенной углекислоты, с учетом потерь азота:</w:t>
      </w:r>
    </w:p>
    <w:p w:rsidR="007115D7" w:rsidRDefault="007115D7"/>
    <w:p w:rsidR="007115D7" w:rsidRDefault="00F60678">
      <w:r>
        <w:t>Энергозатраты (</w:t>
      </w:r>
      <w:r>
        <w:rPr>
          <w:vertAlign w:val="superscript"/>
        </w:rPr>
        <w:t>ккал</w:t>
      </w:r>
      <w:r>
        <w:t>/</w:t>
      </w:r>
      <w:r>
        <w:rPr>
          <w:vertAlign w:val="subscript"/>
        </w:rPr>
        <w:t>сут</w:t>
      </w:r>
      <w:r>
        <w:t>)= 3,78</w:t>
      </w:r>
      <w:r>
        <w:sym w:font="Symbol" w:char="F02A"/>
      </w:r>
      <w:r>
        <w:t>К+1,16</w:t>
      </w:r>
      <w:r>
        <w:sym w:font="Symbol" w:char="F02A"/>
      </w:r>
      <w:r>
        <w:t>У-2,98</w:t>
      </w:r>
      <w:r>
        <w:sym w:font="Symbol" w:char="F02A"/>
      </w:r>
      <w:r>
        <w:t>А, где</w:t>
      </w:r>
    </w:p>
    <w:p w:rsidR="007115D7" w:rsidRDefault="00F60678">
      <w:r>
        <w:t xml:space="preserve"> К – количество потребляемого О</w:t>
      </w:r>
      <w:r>
        <w:rPr>
          <w:vertAlign w:val="subscript"/>
        </w:rPr>
        <w:t>2</w:t>
      </w:r>
      <w:r>
        <w:t xml:space="preserve"> (</w:t>
      </w:r>
      <w:r>
        <w:rPr>
          <w:vertAlign w:val="superscript"/>
        </w:rPr>
        <w:t>л</w:t>
      </w:r>
      <w:r>
        <w:t>/</w:t>
      </w:r>
      <w:r>
        <w:rPr>
          <w:vertAlign w:val="subscript"/>
        </w:rPr>
        <w:t>сут</w:t>
      </w:r>
      <w:r>
        <w:t>), С – количество выделенной СО</w:t>
      </w:r>
      <w:r>
        <w:rPr>
          <w:vertAlign w:val="subscript"/>
        </w:rPr>
        <w:t>2</w:t>
      </w:r>
      <w:r>
        <w:t xml:space="preserve"> (</w:t>
      </w:r>
      <w:r>
        <w:rPr>
          <w:vertAlign w:val="superscript"/>
        </w:rPr>
        <w:t>л</w:t>
      </w:r>
      <w:r>
        <w:t>/</w:t>
      </w:r>
      <w:r>
        <w:rPr>
          <w:vertAlign w:val="subscript"/>
        </w:rPr>
        <w:t>сут</w:t>
      </w:r>
      <w:r>
        <w:t>), А – количество выделенного с мочой азота (</w:t>
      </w:r>
      <w:r>
        <w:rPr>
          <w:vertAlign w:val="superscript"/>
        </w:rPr>
        <w:t>г</w:t>
      </w:r>
      <w:r>
        <w:t>/</w:t>
      </w:r>
      <w:r>
        <w:rPr>
          <w:vertAlign w:val="subscript"/>
        </w:rPr>
        <w:t>сут</w:t>
      </w:r>
      <w:r>
        <w:t>).</w:t>
      </w:r>
    </w:p>
    <w:p w:rsidR="007115D7" w:rsidRDefault="00F60678">
      <w:r>
        <w:t>Состояние азотистого баланса (АБ) рассчитывается по формуле, исходя из того, что 1 г азота содержится в 6,25 г белка:</w:t>
      </w:r>
    </w:p>
    <w:p w:rsidR="007115D7" w:rsidRDefault="00F60678">
      <w:pPr>
        <w:outlineLvl w:val="0"/>
        <w:rPr>
          <w:sz w:val="28"/>
          <w:vertAlign w:val="subscript"/>
        </w:rPr>
      </w:pPr>
      <w:r>
        <w:tab/>
        <w:t xml:space="preserve">        </w:t>
      </w:r>
      <w:r>
        <w:rPr>
          <w:sz w:val="28"/>
          <w:vertAlign w:val="subscript"/>
        </w:rPr>
        <w:t>ПБ, г</w:t>
      </w:r>
      <w:r>
        <w:rPr>
          <w:sz w:val="28"/>
          <w:vertAlign w:val="subscript"/>
        </w:rPr>
        <w:tab/>
      </w:r>
    </w:p>
    <w:p w:rsidR="007115D7" w:rsidRDefault="00F60678">
      <w:r>
        <w:t>АБ (</w:t>
      </w:r>
      <w:r>
        <w:rPr>
          <w:vertAlign w:val="superscript"/>
        </w:rPr>
        <w:t>г</w:t>
      </w:r>
      <w:r>
        <w:t>/</w:t>
      </w:r>
      <w:r>
        <w:rPr>
          <w:vertAlign w:val="subscript"/>
        </w:rPr>
        <w:t>сут</w:t>
      </w:r>
      <w:r>
        <w:t xml:space="preserve">)=  ------- </w:t>
      </w:r>
      <w:r>
        <w:rPr>
          <w:b/>
        </w:rPr>
        <w:sym w:font="Symbol" w:char="F02D"/>
      </w:r>
      <w:r>
        <w:t xml:space="preserve"> (СПАМ, г) + 3 , где</w:t>
      </w:r>
    </w:p>
    <w:p w:rsidR="007115D7" w:rsidRDefault="00F60678">
      <w:pPr>
        <w:rPr>
          <w:sz w:val="28"/>
          <w:vertAlign w:val="superscript"/>
        </w:rPr>
      </w:pPr>
      <w:r>
        <w:t xml:space="preserve"> </w:t>
      </w:r>
      <w:r>
        <w:tab/>
        <w:t xml:space="preserve">        </w:t>
      </w:r>
      <w:r>
        <w:rPr>
          <w:sz w:val="28"/>
          <w:vertAlign w:val="superscript"/>
        </w:rPr>
        <w:t>6,25</w:t>
      </w:r>
    </w:p>
    <w:p w:rsidR="007115D7" w:rsidRDefault="00F60678">
      <w:r>
        <w:t>ПБ – поступивший белок,</w:t>
      </w:r>
    </w:p>
    <w:p w:rsidR="007115D7" w:rsidRDefault="00F60678">
      <w:r>
        <w:t>СПАМ – суточные потери азота мочевины.</w:t>
      </w:r>
    </w:p>
    <w:p w:rsidR="007115D7" w:rsidRDefault="00F60678">
      <w:r>
        <w:t xml:space="preserve">При коррекции тяжелых состояний АБ необходимо увеличить до +4 - 6  </w:t>
      </w:r>
      <w:r>
        <w:rPr>
          <w:vertAlign w:val="superscript"/>
        </w:rPr>
        <w:t>г</w:t>
      </w:r>
      <w:r>
        <w:t>/</w:t>
      </w:r>
      <w:r>
        <w:rPr>
          <w:vertAlign w:val="subscript"/>
        </w:rPr>
        <w:t>сут</w:t>
      </w:r>
      <w:r>
        <w:t>.</w:t>
      </w:r>
    </w:p>
    <w:p w:rsidR="007115D7" w:rsidRDefault="00F60678">
      <w:r>
        <w:t>При планировании парентерального питания необходимые дозы энергетических субстратов, минералов рассчитывают, исходя из их суточной потребности и уровня потребления энергии.</w:t>
      </w:r>
    </w:p>
    <w:p w:rsidR="007115D7" w:rsidRDefault="00F60678">
      <w:r>
        <w:t>Кроме того, назначают витамины.</w:t>
      </w:r>
    </w:p>
    <w:p w:rsidR="007115D7" w:rsidRDefault="007115D7"/>
    <w:p w:rsidR="007115D7" w:rsidRDefault="00F60678">
      <w:pPr>
        <w:outlineLvl w:val="0"/>
        <w:rPr>
          <w:b/>
        </w:rPr>
      </w:pPr>
      <w:r>
        <w:tab/>
      </w:r>
      <w:r>
        <w:tab/>
      </w:r>
      <w:r>
        <w:rPr>
          <w:b/>
        </w:rPr>
        <w:t>Компоненты парентерального питания.</w:t>
      </w:r>
    </w:p>
    <w:p w:rsidR="007115D7" w:rsidRDefault="007115D7"/>
    <w:p w:rsidR="007115D7" w:rsidRDefault="00F60678">
      <w:pPr>
        <w:pStyle w:val="a3"/>
        <w:rPr>
          <w:rFonts w:ascii="Arial" w:hAnsi="Arial"/>
          <w:sz w:val="24"/>
        </w:rPr>
      </w:pPr>
      <w:r>
        <w:rPr>
          <w:rFonts w:ascii="Arial" w:hAnsi="Arial"/>
          <w:i/>
          <w:sz w:val="24"/>
          <w:u w:val="single"/>
        </w:rPr>
        <w:t>Углеводы и спирты</w:t>
      </w:r>
      <w:r>
        <w:rPr>
          <w:rFonts w:ascii="Arial" w:hAnsi="Arial"/>
          <w:sz w:val="24"/>
        </w:rPr>
        <w:t xml:space="preserve"> - являются основными источниками энергии при парентеральном питании, которые вводятся в виде моносахаридов: глюкоза, фруктоза и в виде многоатомных спиртов: сорбитол, ксилит. Их доля в энергоснабжении составляет 45-50% от общей энергии. Наряду с удовлетворением энергетических потребностей, они оказывают азотсберегающий эффект. Введение 100 г глюкозы в сутки предупреждает развитие кетоза. Чаще всего используются глюкоза (5, 10, 20, 30, 40%), инвертный сахар (10%), который состоит из равных частей глюкозы и фруктозы, фруктоза (10%) при одинаковой калорийности с глюкозой усваивается в отсутствие инсулина и в 10 раз быстрее фосфорилируется с образованием АТФ и гликогена. Сорбит (20%) и ксилит используются как дополнительные источники энергии с глюкозой и жировыми эмульсиями. Они обладают витаминсберегаюшим эффектом (особенно группы В). Сорбит оказывает осмодиуретический эффект, ксилит обладает антикетоногенным действием и способностью включаться в пентозофосфатный цикл без участия фермента глюкозо-6-фосфатдегидрогеназы, активность которой может быть пониженной. Особенно эффективны высококалорийные растворы комбистерил - FGX 10,20,24.40,70 (комбинация фруктозы, глюкозы и ксилита в соотношении 2:1:1), обладающие калорийностью 410-2800 </w:t>
      </w:r>
      <w:r>
        <w:rPr>
          <w:rFonts w:ascii="Arial" w:hAnsi="Arial"/>
          <w:sz w:val="24"/>
          <w:vertAlign w:val="superscript"/>
        </w:rPr>
        <w:t>ккал</w:t>
      </w:r>
      <w:r>
        <w:rPr>
          <w:rFonts w:ascii="Arial" w:hAnsi="Arial"/>
          <w:sz w:val="24"/>
        </w:rPr>
        <w:t>/</w:t>
      </w:r>
      <w:r>
        <w:rPr>
          <w:rFonts w:ascii="Arial" w:hAnsi="Arial"/>
          <w:sz w:val="24"/>
          <w:vertAlign w:val="subscript"/>
        </w:rPr>
        <w:t>л</w:t>
      </w:r>
      <w:r>
        <w:rPr>
          <w:rFonts w:ascii="Arial" w:hAnsi="Arial"/>
          <w:sz w:val="24"/>
        </w:rPr>
        <w:t>.</w:t>
      </w:r>
    </w:p>
    <w:p w:rsidR="007115D7" w:rsidRDefault="00F60678">
      <w:pPr>
        <w:pStyle w:val="a3"/>
        <w:rPr>
          <w:rFonts w:ascii="Arial" w:hAnsi="Arial"/>
          <w:sz w:val="24"/>
        </w:rPr>
      </w:pPr>
      <w:r>
        <w:rPr>
          <w:rFonts w:ascii="Arial" w:hAnsi="Arial"/>
          <w:i/>
          <w:sz w:val="24"/>
          <w:u w:val="single"/>
        </w:rPr>
        <w:t>Жиры</w:t>
      </w:r>
      <w:r>
        <w:rPr>
          <w:rFonts w:ascii="Arial" w:hAnsi="Arial"/>
          <w:sz w:val="24"/>
        </w:rPr>
        <w:t xml:space="preserve"> являются наиболее эффективным энергетическим субстратом.  Вводятся в виде жировых эмульсий. Для предупреждения накопления в организме кетоновых тел вводятся вместе с углеводами в соотношении 1:1.</w:t>
      </w:r>
    </w:p>
    <w:p w:rsidR="007115D7" w:rsidRDefault="00F60678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Наибольшее распространение получили интралипид 10% и 20% (Швеция), липовеноз 10% и 20% (Германия), обеспечивающие 1000 и 2000 </w:t>
      </w:r>
      <w:r>
        <w:rPr>
          <w:rFonts w:ascii="Arial" w:hAnsi="Arial"/>
          <w:sz w:val="24"/>
          <w:vertAlign w:val="superscript"/>
        </w:rPr>
        <w:t>ккал</w:t>
      </w:r>
      <w:r>
        <w:rPr>
          <w:rFonts w:ascii="Arial" w:hAnsi="Arial"/>
          <w:sz w:val="24"/>
        </w:rPr>
        <w:t>/</w:t>
      </w:r>
      <w:r>
        <w:rPr>
          <w:rFonts w:ascii="Arial" w:hAnsi="Arial"/>
          <w:sz w:val="24"/>
          <w:vertAlign w:val="subscript"/>
        </w:rPr>
        <w:t>л</w:t>
      </w:r>
      <w:r>
        <w:rPr>
          <w:rFonts w:ascii="Arial" w:hAnsi="Arial"/>
          <w:sz w:val="24"/>
        </w:rPr>
        <w:t>. 0дновременно они нормализуют метаболические процессы в легочной ткани с активацией образования сурфактанта, что   способствует разрешению легочной недостаточности, Более эффективны жировые эмульсии,  включающие среднецепочечные триглицериды - липофундин MCT/LCT (Германия), при введении которых увеличивается скорость утилизации триглицеридов с ускорением выхода энергии, способствует восстановлению функций гепатоцитов, предупреждает развитие гипертриглицеридемии.</w:t>
      </w:r>
    </w:p>
    <w:p w:rsidR="007115D7" w:rsidRDefault="00F60678">
      <w:pPr>
        <w:pStyle w:val="a3"/>
        <w:rPr>
          <w:rFonts w:ascii="Arial" w:hAnsi="Arial"/>
          <w:sz w:val="24"/>
        </w:rPr>
      </w:pPr>
      <w:r>
        <w:rPr>
          <w:rFonts w:ascii="Arial" w:hAnsi="Arial"/>
          <w:i/>
          <w:sz w:val="24"/>
          <w:u w:val="single"/>
        </w:rPr>
        <w:t xml:space="preserve">Белки </w:t>
      </w:r>
      <w:r>
        <w:rPr>
          <w:rFonts w:ascii="Arial" w:hAnsi="Arial"/>
          <w:sz w:val="24"/>
        </w:rPr>
        <w:t>- являются важнейшей составной частью для построения тканей, крови, синтеза протеогормонов, энзимов. В качестве источника азота в последнее время все чаще используются кристаллические аминокислотные смеси, которые оцениваются по соотношению в их составе заменимых и незаменимых аминокислот, среди которых наиболее оптимальными являются содержащие заменимые и незаменимые  аминокислоты в тех же пропорциях, что и в яичном белке. Используются аминокислотные смеси направленного назначения: при печеночной недостаточности - аминостерил Н-гепа (Германия), при почечной недостаточности – аминостерил КЕ-нефро (Германия), нефрамин, аминесс.</w:t>
      </w:r>
    </w:p>
    <w:p w:rsidR="007115D7" w:rsidRDefault="00F60678">
      <w:pPr>
        <w:pStyle w:val="a3"/>
        <w:rPr>
          <w:rFonts w:ascii="Arial" w:hAnsi="Arial"/>
          <w:sz w:val="24"/>
        </w:rPr>
      </w:pPr>
      <w:r>
        <w:rPr>
          <w:rFonts w:ascii="Arial" w:hAnsi="Arial"/>
          <w:i/>
          <w:sz w:val="24"/>
          <w:u w:val="single"/>
        </w:rPr>
        <w:t>Солевые растворы</w:t>
      </w:r>
      <w:r>
        <w:rPr>
          <w:rFonts w:ascii="Arial" w:hAnsi="Arial"/>
          <w:sz w:val="24"/>
        </w:rPr>
        <w:t>: простые и сложные, вводятся для нормализации водно-электролитного и кислотно-щелочного равновесия под контролем показателей йонограммы и КЩС из расчета общих суточных потерь.</w:t>
      </w:r>
    </w:p>
    <w:p w:rsidR="007115D7" w:rsidRDefault="00F60678">
      <w:pPr>
        <w:pStyle w:val="a3"/>
        <w:rPr>
          <w:rFonts w:ascii="Arial" w:hAnsi="Arial"/>
          <w:sz w:val="24"/>
        </w:rPr>
      </w:pPr>
      <w:r>
        <w:rPr>
          <w:rFonts w:ascii="Arial" w:hAnsi="Arial"/>
          <w:i/>
          <w:sz w:val="24"/>
          <w:u w:val="single"/>
        </w:rPr>
        <w:t>Витамины, микроэлементы, анаболические гормоны</w:t>
      </w:r>
      <w:r>
        <w:rPr>
          <w:rFonts w:ascii="Arial" w:hAnsi="Arial"/>
          <w:sz w:val="24"/>
        </w:rPr>
        <w:t xml:space="preserve"> также включают в комплекс парентерального питания. При введении витаминов должно быть адекватное количество аминокислот, иначе они выводятся с мочой, вводят витамины в соответствии с суточной потребностью.</w:t>
      </w:r>
    </w:p>
    <w:p w:rsidR="007115D7" w:rsidRDefault="00F60678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Гормоны способны повышать усваиваемость азотсодержащих веществ. Применяются соматотропин, инсулин, некоторые андрогены. </w:t>
      </w:r>
    </w:p>
    <w:p w:rsidR="007115D7" w:rsidRDefault="007115D7">
      <w:pPr>
        <w:pStyle w:val="a3"/>
      </w:pPr>
    </w:p>
    <w:p w:rsidR="007115D7" w:rsidRDefault="00F60678">
      <w:pPr>
        <w:pStyle w:val="a3"/>
        <w:rPr>
          <w:rFonts w:ascii="Arial" w:hAnsi="Arial"/>
          <w:b/>
          <w:sz w:val="24"/>
        </w:rPr>
      </w:pPr>
      <w:r>
        <w:tab/>
      </w:r>
      <w:r>
        <w:tab/>
      </w:r>
      <w:r>
        <w:tab/>
      </w:r>
      <w:r>
        <w:rPr>
          <w:rFonts w:ascii="Arial" w:hAnsi="Arial"/>
          <w:b/>
          <w:sz w:val="24"/>
        </w:rPr>
        <w:t>Инфузионная техника.</w:t>
      </w:r>
    </w:p>
    <w:p w:rsidR="007115D7" w:rsidRDefault="007115D7">
      <w:pPr>
        <w:pStyle w:val="a3"/>
        <w:rPr>
          <w:rFonts w:ascii="Arial" w:hAnsi="Arial"/>
          <w:sz w:val="24"/>
        </w:rPr>
      </w:pPr>
    </w:p>
    <w:p w:rsidR="007115D7" w:rsidRDefault="00F60678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Основным способом парентерального питания является введение энергетических, пластических субстратов и других ингредиентов в сосудистое русло:</w:t>
      </w:r>
    </w:p>
    <w:p w:rsidR="007115D7" w:rsidRDefault="00F60678">
      <w:pPr>
        <w:pStyle w:val="a3"/>
        <w:numPr>
          <w:ilvl w:val="0"/>
          <w:numId w:val="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в периферические вены;</w:t>
      </w:r>
    </w:p>
    <w:p w:rsidR="007115D7" w:rsidRDefault="00F60678">
      <w:pPr>
        <w:pStyle w:val="a3"/>
        <w:numPr>
          <w:ilvl w:val="0"/>
          <w:numId w:val="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в центральные вены;</w:t>
      </w:r>
    </w:p>
    <w:p w:rsidR="007115D7" w:rsidRDefault="00F60678">
      <w:pPr>
        <w:pStyle w:val="a3"/>
        <w:numPr>
          <w:ilvl w:val="0"/>
          <w:numId w:val="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в реканализованую пупочную вену;</w:t>
      </w:r>
    </w:p>
    <w:p w:rsidR="007115D7" w:rsidRDefault="00F60678">
      <w:pPr>
        <w:pStyle w:val="a3"/>
        <w:numPr>
          <w:ilvl w:val="0"/>
          <w:numId w:val="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через шунты;</w:t>
      </w:r>
    </w:p>
    <w:p w:rsidR="007115D7" w:rsidRDefault="00F60678">
      <w:pPr>
        <w:pStyle w:val="a3"/>
        <w:numPr>
          <w:ilvl w:val="0"/>
          <w:numId w:val="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внутриартериально.</w:t>
      </w:r>
    </w:p>
    <w:p w:rsidR="007115D7" w:rsidRDefault="00F60678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Используются инфузионные насосы, электронные регуляторы капель. Инфузия должна проводится в течение 24 часов с определенной скоростью, но не более 30-40 капель в минуту, при этом не происходит перегрузки ферментных систем азотсодержащими веществами, в результате чего ухудшается усвоение и увеличивается выведение их с мочой.</w:t>
      </w:r>
    </w:p>
    <w:p w:rsidR="007115D7" w:rsidRDefault="00F60678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последние годы во многих странах начали применять методику парентерального питания </w:t>
      </w:r>
      <w:r>
        <w:rPr>
          <w:rFonts w:ascii="Arial" w:hAnsi="Arial"/>
          <w:sz w:val="24"/>
          <w:lang w:val="en-US"/>
        </w:rPr>
        <w:t>“</w:t>
      </w:r>
      <w:r>
        <w:rPr>
          <w:rFonts w:ascii="Arial" w:hAnsi="Arial"/>
          <w:sz w:val="24"/>
        </w:rPr>
        <w:t>все в одном</w:t>
      </w:r>
      <w:r>
        <w:rPr>
          <w:rFonts w:ascii="Arial" w:hAnsi="Arial"/>
          <w:sz w:val="24"/>
          <w:lang w:val="en-US"/>
        </w:rPr>
        <w:t xml:space="preserve">” </w:t>
      </w:r>
      <w:r>
        <w:rPr>
          <w:rFonts w:ascii="Arial" w:hAnsi="Arial"/>
          <w:sz w:val="24"/>
        </w:rPr>
        <w:t>с использованием 3-х литровых контейнеров для смешивания в одном пластиковом мешке всех ингредиентов.</w:t>
      </w:r>
    </w:p>
    <w:p w:rsidR="007115D7" w:rsidRDefault="00F60678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Выпускаются уже готовые смеси аминокислот и жировых эмульсий: аминомикс, нутрифлекс (Германия), кабимикс (Швеция), нутримикс (США).</w:t>
      </w:r>
    </w:p>
    <w:p w:rsidR="007115D7" w:rsidRDefault="00F60678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Преимущества этого метода сводятся к минимуму манипуляций с ёмкостями, содержащими питательные вещества, уменьшается их инфицированность, снижается риск гипегликемии и гиперосмолярной некетоновой комы.</w:t>
      </w:r>
    </w:p>
    <w:p w:rsidR="007115D7" w:rsidRDefault="00F60678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Недостатки: склеивание жировых частиц и образование больших глобул, могущих быть опасными для больного, не решена проблема окклюзии катетера, не известно, как долго эта смесь может безопасно находится в холодильнике. </w:t>
      </w:r>
    </w:p>
    <w:p w:rsidR="007115D7" w:rsidRDefault="00F60678">
      <w:r>
        <w:t xml:space="preserve">   </w:t>
      </w:r>
    </w:p>
    <w:p w:rsidR="007115D7" w:rsidRDefault="00F60678">
      <w:pPr>
        <w:outlineLvl w:val="0"/>
        <w:rPr>
          <w:b/>
        </w:rPr>
      </w:pPr>
      <w:r>
        <w:tab/>
      </w:r>
      <w:r>
        <w:tab/>
      </w:r>
      <w:r>
        <w:tab/>
      </w:r>
      <w:r>
        <w:rPr>
          <w:b/>
        </w:rPr>
        <w:t>Осложнения.</w:t>
      </w:r>
    </w:p>
    <w:p w:rsidR="007115D7" w:rsidRDefault="007115D7"/>
    <w:p w:rsidR="007115D7" w:rsidRDefault="00F60678">
      <w:r>
        <w:t>Выделяют технические, метаболические, органопатологические и септические осложнения.</w:t>
      </w:r>
    </w:p>
    <w:p w:rsidR="007115D7" w:rsidRDefault="00F60678">
      <w:pPr>
        <w:numPr>
          <w:ilvl w:val="0"/>
          <w:numId w:val="2"/>
        </w:numPr>
      </w:pPr>
      <w:r>
        <w:t>Технические осложнения связаны с техникой доступа к сосудистому руслу и уходом за длительно стоящим катетером.</w:t>
      </w:r>
    </w:p>
    <w:p w:rsidR="007115D7" w:rsidRDefault="00F60678">
      <w:pPr>
        <w:numPr>
          <w:ilvl w:val="0"/>
          <w:numId w:val="2"/>
        </w:numPr>
      </w:pPr>
      <w:r>
        <w:t>Метаболические осложнения обусловлены неоптимальным проведением парентерального питания (гипергликемия, гипергликемический и гипергликемический синдромы, метаболический ацидоз, гипертриглицеридемия, дефицит электролитов, микроэлементов и др.)</w:t>
      </w:r>
    </w:p>
    <w:p w:rsidR="007115D7" w:rsidRDefault="00F60678">
      <w:pPr>
        <w:numPr>
          <w:ilvl w:val="0"/>
          <w:numId w:val="2"/>
        </w:numPr>
      </w:pPr>
      <w:r>
        <w:t xml:space="preserve"> Органопатологические осложнения: дыхательные – гиперкапния при введении избытка моносахаридов, особенно в виде концентрированных растворов; синдром реабилитации – при форсированном использовании моносахаридов, на фоне анаболизма калий, магний и фосфат перемещаются во внутриклеточное пространство.</w:t>
      </w:r>
    </w:p>
    <w:p w:rsidR="007115D7" w:rsidRDefault="00F60678">
      <w:pPr>
        <w:numPr>
          <w:ilvl w:val="0"/>
          <w:numId w:val="2"/>
        </w:numPr>
      </w:pPr>
      <w:r>
        <w:t>Септические осложнения чаще всего связаны с нарушением правил асептики и антисептики.</w:t>
      </w:r>
    </w:p>
    <w:p w:rsidR="007115D7" w:rsidRDefault="007115D7"/>
    <w:p w:rsidR="007115D7" w:rsidRDefault="007115D7"/>
    <w:p w:rsidR="007115D7" w:rsidRDefault="00F60678">
      <w:pPr>
        <w:ind w:left="2160" w:firstLine="720"/>
        <w:rPr>
          <w:b/>
        </w:rPr>
      </w:pPr>
      <w:r>
        <w:rPr>
          <w:b/>
        </w:rPr>
        <w:t>Литература.</w:t>
      </w:r>
    </w:p>
    <w:p w:rsidR="007115D7" w:rsidRDefault="007115D7">
      <w:pPr>
        <w:ind w:left="2160" w:firstLine="720"/>
        <w:rPr>
          <w:b/>
        </w:rPr>
      </w:pPr>
    </w:p>
    <w:p w:rsidR="007115D7" w:rsidRDefault="00F60678">
      <w:pPr>
        <w:numPr>
          <w:ilvl w:val="0"/>
          <w:numId w:val="6"/>
        </w:numPr>
      </w:pPr>
      <w:r>
        <w:t>Краткие сведения о парентеральном питании/Сост. проф. Л.В.Новицкая-Усенко. - Днепропетровск, 1997. – 21 с.</w:t>
      </w:r>
    </w:p>
    <w:p w:rsidR="007115D7" w:rsidRDefault="00F60678">
      <w:pPr>
        <w:numPr>
          <w:ilvl w:val="0"/>
          <w:numId w:val="6"/>
        </w:numPr>
      </w:pPr>
      <w:r>
        <w:t>Кошелев Н.Ф. Проблемы парентерального питания.- Л.:Медицина, 1975.</w:t>
      </w:r>
    </w:p>
    <w:p w:rsidR="007115D7" w:rsidRDefault="00F60678">
      <w:pPr>
        <w:numPr>
          <w:ilvl w:val="0"/>
          <w:numId w:val="6"/>
        </w:numPr>
      </w:pPr>
      <w:r>
        <w:t>Гланц Р.М., Усиков Ф.Ф. Парентеральное питание больных. -М.: Медицина, 1979.</w:t>
      </w:r>
    </w:p>
    <w:p w:rsidR="007115D7" w:rsidRDefault="00F60678">
      <w:pPr>
        <w:numPr>
          <w:ilvl w:val="0"/>
          <w:numId w:val="6"/>
        </w:numPr>
      </w:pPr>
      <w:r>
        <w:t>Основы реаниматологии / Под ред. В.А.Неговского.- 3 изд., перераб. и доп.- Ташкент: Медицина, 1977.</w:t>
      </w:r>
      <w:bookmarkStart w:id="0" w:name="_GoBack"/>
      <w:bookmarkEnd w:id="0"/>
    </w:p>
    <w:sectPr w:rsidR="007115D7">
      <w:headerReference w:type="even" r:id="rId7"/>
      <w:headerReference w:type="default" r:id="rId8"/>
      <w:pgSz w:w="11906" w:h="16838"/>
      <w:pgMar w:top="1418" w:right="1134" w:bottom="226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D7" w:rsidRDefault="00F60678">
      <w:r>
        <w:separator/>
      </w:r>
    </w:p>
  </w:endnote>
  <w:endnote w:type="continuationSeparator" w:id="0">
    <w:p w:rsidR="007115D7" w:rsidRDefault="00F6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D7" w:rsidRDefault="00F60678">
      <w:r>
        <w:separator/>
      </w:r>
    </w:p>
  </w:footnote>
  <w:footnote w:type="continuationSeparator" w:id="0">
    <w:p w:rsidR="007115D7" w:rsidRDefault="00F6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5D7" w:rsidRDefault="00F6067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15D7" w:rsidRDefault="007115D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5D7" w:rsidRDefault="00F6067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7115D7" w:rsidRDefault="007115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49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31623E"/>
    <w:multiLevelType w:val="singleLevel"/>
    <w:tmpl w:val="687E2E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EBB1A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CE918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1305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D2F5918"/>
    <w:multiLevelType w:val="singleLevel"/>
    <w:tmpl w:val="47F6F6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678"/>
    <w:rsid w:val="007115D7"/>
    <w:rsid w:val="008D41C2"/>
    <w:rsid w:val="00F6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3AFA9-5F79-4B57-AAFD-DD6A5199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  <w:sz w:val="2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pPr>
      <w:ind w:firstLine="720"/>
      <w:outlineLvl w:val="0"/>
    </w:pPr>
    <w:rPr>
      <w:b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Парентеральное питание – это особый вид заместительной терапии, при котором питательные вещества для восполнения энергетических, пласти-ческих затрат и поддержания нормального уровня обменных процессов вводят в организм, минуя желудочно-кишечный тракт</vt:lpstr>
    </vt:vector>
  </TitlesOfParts>
  <Company>ASE</Company>
  <LinksUpToDate>false</LinksUpToDate>
  <CharactersWithSpaces>16354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Парентеральное питание – это особый вид заместительной терапии, при котором питательные вещества для восполнения энергетических, пласти-ческих затрат и поддержания нормального уровня обменных процессов вводят в организм, минуя желудочно-кишечный тракт</dc:title>
  <dc:subject/>
  <dc:creator>Артем Карасев</dc:creator>
  <cp:keywords/>
  <cp:lastModifiedBy>admin</cp:lastModifiedBy>
  <cp:revision>2</cp:revision>
  <cp:lastPrinted>1998-03-25T18:20:00Z</cp:lastPrinted>
  <dcterms:created xsi:type="dcterms:W3CDTF">2014-02-13T13:30:00Z</dcterms:created>
  <dcterms:modified xsi:type="dcterms:W3CDTF">2014-02-13T13:30:00Z</dcterms:modified>
</cp:coreProperties>
</file>