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E8" w:rsidRPr="00784EA6" w:rsidRDefault="00DB72E8" w:rsidP="005840F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784EA6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DB72E8" w:rsidRPr="00784EA6" w:rsidRDefault="00DB72E8" w:rsidP="005840F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784EA6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DB72E8" w:rsidRPr="00784EA6" w:rsidRDefault="00DB72E8" w:rsidP="005840F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784EA6">
        <w:rPr>
          <w:b/>
          <w:color w:val="000000"/>
          <w:sz w:val="28"/>
          <w:szCs w:val="32"/>
        </w:rPr>
        <w:t>Медицинский Институт</w:t>
      </w:r>
    </w:p>
    <w:p w:rsidR="00DB72E8" w:rsidRPr="00784EA6" w:rsidRDefault="00DB72E8" w:rsidP="005840F5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DB72E8" w:rsidRPr="00784EA6" w:rsidRDefault="00DB72E8" w:rsidP="005840F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784EA6">
        <w:rPr>
          <w:b/>
          <w:color w:val="000000"/>
          <w:sz w:val="28"/>
          <w:szCs w:val="32"/>
        </w:rPr>
        <w:t>Кафедра Неврологии</w:t>
      </w:r>
    </w:p>
    <w:p w:rsidR="00DB72E8" w:rsidRPr="00784EA6" w:rsidRDefault="00DB72E8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DB72E8" w:rsidRPr="00784EA6" w:rsidRDefault="00DB72E8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784EA6" w:rsidRDefault="00784EA6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DB72E8" w:rsidRDefault="00DB72E8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5840F5" w:rsidRDefault="005840F5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5840F5" w:rsidRPr="00784EA6" w:rsidRDefault="005840F5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DB72E8" w:rsidRPr="00784EA6" w:rsidRDefault="00DB72E8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DB72E8" w:rsidRPr="00784EA6" w:rsidRDefault="00DB72E8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DB72E8" w:rsidRPr="00784EA6" w:rsidRDefault="00DB72E8" w:rsidP="005840F5">
      <w:pPr>
        <w:spacing w:line="360" w:lineRule="auto"/>
        <w:jc w:val="center"/>
        <w:rPr>
          <w:color w:val="000000"/>
          <w:sz w:val="28"/>
          <w:szCs w:val="36"/>
        </w:rPr>
      </w:pPr>
      <w:r w:rsidRPr="00784EA6">
        <w:rPr>
          <w:color w:val="000000"/>
          <w:sz w:val="28"/>
          <w:szCs w:val="36"/>
        </w:rPr>
        <w:t>Реферат</w:t>
      </w:r>
    </w:p>
    <w:p w:rsidR="00DB72E8" w:rsidRPr="00784EA6" w:rsidRDefault="00DB72E8" w:rsidP="005840F5">
      <w:pPr>
        <w:spacing w:line="360" w:lineRule="auto"/>
        <w:jc w:val="center"/>
        <w:rPr>
          <w:color w:val="000000"/>
          <w:sz w:val="28"/>
          <w:szCs w:val="36"/>
        </w:rPr>
      </w:pPr>
      <w:r w:rsidRPr="00784EA6">
        <w:rPr>
          <w:color w:val="000000"/>
          <w:sz w:val="28"/>
          <w:szCs w:val="36"/>
        </w:rPr>
        <w:t>на тему:</w:t>
      </w:r>
    </w:p>
    <w:p w:rsidR="00DB72E8" w:rsidRPr="00784EA6" w:rsidRDefault="00DB72E8" w:rsidP="005840F5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784EA6">
        <w:rPr>
          <w:b/>
          <w:color w:val="000000"/>
          <w:sz w:val="28"/>
          <w:szCs w:val="36"/>
        </w:rPr>
        <w:t>«Парезы ног»</w:t>
      </w:r>
    </w:p>
    <w:p w:rsidR="00DB72E8" w:rsidRPr="00784EA6" w:rsidRDefault="00DB72E8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784EA6" w:rsidRDefault="00784EA6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DB72E8" w:rsidRDefault="00DB72E8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5840F5" w:rsidRDefault="005840F5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5840F5" w:rsidRDefault="005840F5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5840F5" w:rsidRDefault="005840F5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5840F5" w:rsidRPr="00784EA6" w:rsidRDefault="005840F5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DB72E8" w:rsidRPr="00784EA6" w:rsidRDefault="00DB72E8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DB72E8" w:rsidRPr="00784EA6" w:rsidRDefault="00DB72E8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DB72E8" w:rsidRPr="00784EA6" w:rsidRDefault="00DB72E8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DB72E8" w:rsidRPr="00784EA6" w:rsidRDefault="00DB72E8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DB72E8" w:rsidRPr="00784EA6" w:rsidRDefault="00DB72E8" w:rsidP="005840F5">
      <w:pPr>
        <w:spacing w:line="360" w:lineRule="auto"/>
        <w:jc w:val="center"/>
        <w:rPr>
          <w:color w:val="000000"/>
          <w:sz w:val="28"/>
          <w:szCs w:val="28"/>
        </w:rPr>
      </w:pPr>
    </w:p>
    <w:p w:rsidR="00DB72E8" w:rsidRPr="00784EA6" w:rsidRDefault="00DB72E8" w:rsidP="005840F5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784EA6">
        <w:rPr>
          <w:b/>
          <w:color w:val="000000"/>
          <w:sz w:val="28"/>
          <w:szCs w:val="32"/>
        </w:rPr>
        <w:t>Пенза</w:t>
      </w:r>
    </w:p>
    <w:p w:rsidR="005840F5" w:rsidRDefault="00DB72E8" w:rsidP="005840F5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784EA6">
        <w:rPr>
          <w:b/>
          <w:color w:val="000000"/>
          <w:sz w:val="28"/>
          <w:szCs w:val="32"/>
        </w:rPr>
        <w:t>2008</w:t>
      </w:r>
    </w:p>
    <w:p w:rsidR="00DB72E8" w:rsidRDefault="005840F5" w:rsidP="005840F5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DB72E8" w:rsidRPr="005840F5">
        <w:rPr>
          <w:b/>
          <w:sz w:val="28"/>
          <w:szCs w:val="28"/>
        </w:rPr>
        <w:t>План</w:t>
      </w:r>
    </w:p>
    <w:p w:rsidR="005840F5" w:rsidRPr="00784EA6" w:rsidRDefault="005840F5" w:rsidP="005840F5">
      <w:pPr>
        <w:pStyle w:val="a3"/>
        <w:spacing w:line="360" w:lineRule="auto"/>
        <w:ind w:firstLine="720"/>
        <w:jc w:val="both"/>
      </w:pPr>
    </w:p>
    <w:p w:rsidR="00DB72E8" w:rsidRPr="00784EA6" w:rsidRDefault="00DB72E8" w:rsidP="005840F5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Парезы, выраженные преимущественно в проксимальных отделах ног</w:t>
      </w:r>
    </w:p>
    <w:p w:rsidR="00DB72E8" w:rsidRPr="00784EA6" w:rsidRDefault="00DB72E8" w:rsidP="005840F5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Дистальный парез ног</w:t>
      </w:r>
    </w:p>
    <w:p w:rsidR="00DB72E8" w:rsidRPr="00784EA6" w:rsidRDefault="00DB72E8" w:rsidP="005840F5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Тотальный парез ног</w:t>
      </w:r>
    </w:p>
    <w:p w:rsidR="00DB72E8" w:rsidRPr="00784EA6" w:rsidRDefault="00DB72E8" w:rsidP="005840F5">
      <w:pPr>
        <w:tabs>
          <w:tab w:val="num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Литература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2E8" w:rsidRPr="00784EA6" w:rsidRDefault="005840F5" w:rsidP="00784E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DB72E8" w:rsidRPr="00784EA6">
        <w:rPr>
          <w:b/>
          <w:color w:val="000000"/>
          <w:sz w:val="28"/>
          <w:szCs w:val="32"/>
        </w:rPr>
        <w:t xml:space="preserve">1. </w:t>
      </w:r>
      <w:r w:rsidRPr="00784EA6">
        <w:rPr>
          <w:b/>
          <w:color w:val="000000"/>
          <w:sz w:val="28"/>
          <w:szCs w:val="32"/>
        </w:rPr>
        <w:t>Парезы, выраженные преимущественно в проксимальных отделах</w:t>
      </w:r>
      <w:r>
        <w:rPr>
          <w:b/>
          <w:color w:val="000000"/>
          <w:sz w:val="28"/>
          <w:szCs w:val="32"/>
        </w:rPr>
        <w:t xml:space="preserve"> </w:t>
      </w:r>
      <w:r w:rsidRPr="00784EA6">
        <w:rPr>
          <w:b/>
          <w:color w:val="000000"/>
          <w:sz w:val="28"/>
          <w:szCs w:val="32"/>
        </w:rPr>
        <w:t>ног</w:t>
      </w:r>
    </w:p>
    <w:p w:rsidR="005840F5" w:rsidRDefault="005840F5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При этих парезах затруднено сгибание бедра,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сгибание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разгибание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голени вследствие слабости проксимальных мышечных групп при относительно достаточной силе и объеме движений в дистальных отделах. Проксимальный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парез может носить характер как периферического, так и центрального типа; последний вариант крайне редок. Периферический односторонний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проксимальный парез обычно возникает в результате травматического поражения бедренного нерва. Мононейропатия бедренного нерва проявляется ограниченным сгибанием бедра и разгибания голени, снижением силы четырехглавой мышцы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бедра, угасанием коленного рефлекса, снижением чувствительности на передней поверхности бедра и передневнутренней поверхности голени.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Особой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формой, эквивалентной невралгической амиотрофии, является подострое развитие атрофического паралича мышц бедра наряду с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жестокой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болью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нем.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Этот симптомокомплекс обычно наблюдается у лиц, страдающих диабетом.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Периферический проксимальный парапарез встречается реже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дистального. Острое его развитие обычно наблюдается в рамках полинейропатии Ландри</w:t>
      </w:r>
      <w:r w:rsidR="00784EA6">
        <w:rPr>
          <w:color w:val="000000"/>
          <w:sz w:val="28"/>
          <w:szCs w:val="28"/>
        </w:rPr>
        <w:t xml:space="preserve"> –</w:t>
      </w:r>
      <w:r w:rsidR="00784EA6" w:rsidRP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 xml:space="preserve">Гийена </w:t>
      </w:r>
      <w:r w:rsidR="00784EA6">
        <w:rPr>
          <w:color w:val="000000"/>
          <w:sz w:val="28"/>
          <w:szCs w:val="28"/>
        </w:rPr>
        <w:t>–</w:t>
      </w:r>
      <w:r w:rsidR="00784EA6" w:rsidRP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Барре либо при полиомиелите, который в настоящее время наблюдается исключительно редко. Параличи выражены асимметрично, их возникновению обычно предшествует боль в ногах.</w:t>
      </w:r>
    </w:p>
    <w:p w:rsidR="005840F5" w:rsidRDefault="005840F5" w:rsidP="00784E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B72E8" w:rsidRPr="00784EA6" w:rsidRDefault="00DB72E8" w:rsidP="00784E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84EA6">
        <w:rPr>
          <w:b/>
          <w:color w:val="000000"/>
          <w:sz w:val="28"/>
          <w:szCs w:val="32"/>
        </w:rPr>
        <w:t xml:space="preserve">2. </w:t>
      </w:r>
      <w:r w:rsidR="005840F5" w:rsidRPr="00784EA6">
        <w:rPr>
          <w:b/>
          <w:color w:val="000000"/>
          <w:sz w:val="28"/>
          <w:szCs w:val="32"/>
        </w:rPr>
        <w:t>Дистальный парез ног</w:t>
      </w:r>
    </w:p>
    <w:p w:rsidR="005840F5" w:rsidRDefault="005840F5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Парез одной ноги чаще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бывает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дистальным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 большинстве случаев периферическим. При этом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невозможны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движения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стоп вследствие поражения персональной или тибиальной группы мышц или их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сочетанного поражения.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Поражение малоберцового нерва проявляется отвисанием стопы, невозможностью ходить на пятках, невозможностью отведения стопы и поднимания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ее наружного края. Вследствие этого возникает специфическое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нарушение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походки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(петушиная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походка,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степпаж).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Нарушается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чувствительность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на тыльной поверхности стопы. Травма нерва часто сочетается с переломом малоберцовой кости. Протрузия межпозвонкового диска может привести к компрессии корешковой артерии, кровоснабжающей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соответствующий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корешок,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 данном случае LI-S1, что проявляется слабостью разгибателей стопы,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возникающей вслед за резкой болью в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голени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(так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называемый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парализующий ишиас). Синдром ущемления малоберцового нерва под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сухожилием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двуглавой мышцы бедра встречается у лиц, долго сидящих на корточках или на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низком сидении (туннельный синдром малоберцового нерва).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Поражение большеберцового нерва чаще развивается в результате травмы. Клинически проявляется нарушением подошвенного сгибания стопы, нарушаются также и сгибание пальцев стопы, выпадает приведение стопы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внутрь.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 результате денервации межкостных мышц пальцы стопы принимают когтеобразное положение. Стояние на носках становится невозможным. Исчезает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ахиллов рефлекс. Поверхностная чувствительность нарушается на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задненаружной поверхности нижней трети голени, на подошве и в области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наружного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края стопы.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Могут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возникать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значительные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вазомоторные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трофические расстройства.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Поражение ствола седалищного нерва чаще связано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травмой,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изредка сочетается с переломом бедренной кости. Мононейропатия седалищного нерва может возникнуть при неправильно вполненной инъекции (инъекционный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неврит). При дискогенном пояснично-крестцовом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радикулите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среди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различных мышечно-тонических феноменов чаще других наблюдается контрактура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грушевидной мышцы, что может обусловить компрессию седалищного нерва.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Клиническая картина полного перерыва седалищного нерва характеризуется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параличом всех мышц ноги, за исключением мышц передней поверхности бедра,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 выпадением чувствительности на задней поверхности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бедра,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задненаружной поверхности голени и на всей поверхности стопы.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Дистальный парез обеих ног, как правило, бывает периферическим.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Острое его развитие возможно при ишемическом инсульте парапарез стоп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может развиваться после неловкого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движения,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чрезмерной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физической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нагрузки (подъем штанги), а иногда и без видимых причин. Развитию парапареза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может предшествовать боль в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поясничной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области.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Дистальные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отделы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ног (преимущественно) могут поражаться при хронической алкогольной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интоксикации. Страдающий алкоголизмом обычно не обращает внимания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парестезии, типичные для продромального периода, и выраженные проявления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заболевания развертываются остро или в течение нескольких дней. Мышцы ног (а иногда и рук) становятся паретичными. Вначале страдают мышцы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дистальных отделов, особенно в ногах, у больных походка принимает характер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степпажа. Подобная же картина наблюдается при отравлении трикрезилфосфатом.</w:t>
      </w:r>
    </w:p>
    <w:p w:rsidR="005840F5" w:rsidRDefault="005840F5" w:rsidP="00784E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B72E8" w:rsidRPr="00784EA6" w:rsidRDefault="00DB72E8" w:rsidP="00784E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84EA6">
        <w:rPr>
          <w:b/>
          <w:color w:val="000000"/>
          <w:sz w:val="28"/>
          <w:szCs w:val="32"/>
        </w:rPr>
        <w:t xml:space="preserve">3. </w:t>
      </w:r>
      <w:r w:rsidR="005840F5" w:rsidRPr="00784EA6">
        <w:rPr>
          <w:b/>
          <w:color w:val="000000"/>
          <w:sz w:val="28"/>
          <w:szCs w:val="32"/>
        </w:rPr>
        <w:t>Тотальный парез ног</w:t>
      </w:r>
    </w:p>
    <w:p w:rsidR="005840F5" w:rsidRDefault="005840F5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 xml:space="preserve">Монопарез (моноплегия) ноги </w:t>
      </w:r>
      <w:r w:rsidR="00784EA6">
        <w:rPr>
          <w:color w:val="000000"/>
          <w:sz w:val="28"/>
          <w:szCs w:val="28"/>
        </w:rPr>
        <w:t>–</w:t>
      </w:r>
      <w:r w:rsidR="00784EA6" w:rsidRP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парез или паралич, равномерно поражающий все отделы одной ноги, чаще носит центральный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характер. При спинальном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уровне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поражения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пирамидного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пучка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монопарез обычно входит в картину синдрома Броун-Секара (поражение половины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поперечника спинного мозга); спастический паралич на стороне очага с выпадением глубокой чувствительности в парализованной ноге и утрат поверхностной чувствительности в здоровой ноге. Синдром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Броун-Секара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чаще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всего наблюдается при экстрамедуллярных опухолях спинного мозга, реже при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его травме. Другим вариантом центральной моноплегии ноги служит ограниченное поражение верхних отделов прецентральной извилины. Причиной ограниченного поражения верхних отделов прецентральной извилины, как правило,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служит ишемический инфаркт в бассейне передней мозговой артерии.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Нижний парапарез (параплегия), равномерно представленный во всех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мышечных группах, чаще носит центральный и реже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периферический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характер. Острое развитие нижнего парапареза наблюдается при травмах спинного мозга, спинальных инсультах, инфекциях, токсических и опухолевых поражениях спинного мозга, конского хвоста, полинейропатиях. В редких случаях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нижний парез может возникнуть и при поражении головного мозга.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Травма спинного мозга, как правило, сопровождает перелом позвоночника либо обусловлена ножевым ранением. В большинстве случаев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острый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период протекает с картиной спинального шока в виде вялого паралича,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выпадения всех видов чувствительности ниже уровня поражения и задержкой мочеиспускания. Симптомы спинального шока в первое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время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затушевывают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истинную степень повреждения спинного мозга. Против полного анатомического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перерыва его свидетельствуют признаки даже незначительной сохранности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любой функциональной системы ниже уровня травмы. При этом особое значение имеет обнаружение восприятия больным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стимулов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аногенитальной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области. Значительный и быстрый регресс спинальных нарушений характерен для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сотрясения спинного мозга и негрубой ишемии его.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Частичное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 xml:space="preserve">восстановление спинальных функций свидетельствует о неполном перерыве </w:t>
      </w:r>
      <w:r w:rsidR="00784EA6">
        <w:rPr>
          <w:color w:val="000000"/>
          <w:sz w:val="28"/>
          <w:szCs w:val="28"/>
        </w:rPr>
        <w:t>–</w:t>
      </w:r>
      <w:r w:rsidR="00784EA6" w:rsidRP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ушибе или травматическом инфаркте. Полное отсутствие каких-либо признаков восстановления на протяжении 2 суток является плохим прогностическим признаком,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указывающим на анатомический перерыв спинного мозга.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Компрессия спинного мозга или конского хвоста. При компрессии спинного мозга метастатической опухолью позвоночника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типичных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случаях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на связь спинального поражения с метастазом указывают прогрессирующее исхудание, землистый цвет кожи, резко увеличенная СОЭ, анемия.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Существенно, что во многих случаях метастазов рака в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позвоночник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спондилография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не выявляет деструкции позвонков. Инсультообразное развитие поражения поперечника спинного мозга при доброкачественных опухолях наблюдается крайне редко и связано со сдавлением опухолью корешковой или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спинальной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артерии.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Остро возникший паралич ног может быть следствием компрессии конского хвоста выпавшим межпозвонковым диском. Клиническая картина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характеризуется двусторонней люмбоишиалгией, вялым параличом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стоп,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анестезией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 седловидному типу и тазовыми расстройствами. Подобная картина развивается при сдавлении грыжей диска корешковых артерий, приводящем к ишемическому инфаркту нижних отделов спинного мозга.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Эпидурит (эпидуральный абсцесс) является осложнением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очагов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гнойной инфекции самой различной локализации либо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сепсиса: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Чаще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всего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эпидуральный абсцесс формируется на уровне грудного отдела позвоночника. Клиническая картина заболевания складывается из общеинфекционных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симптомов (повышение температуры, озноб, общее недомогание, высокая СОЭ, нейтрофилез) и остро развивающегося корешковоспинального поражения: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нарастающая боль в спине, усиливающаяся при кашле и чиханье, к которой присоединяются слабость в ногах, нарушения чувствительности и функции тазовых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 xml:space="preserve">органов. Развитие клинической картины идет очень быстро </w:t>
      </w:r>
      <w:r w:rsidR="00784EA6">
        <w:rPr>
          <w:color w:val="000000"/>
          <w:sz w:val="28"/>
          <w:szCs w:val="28"/>
        </w:rPr>
        <w:t>–</w:t>
      </w:r>
      <w:r w:rsidR="00784EA6" w:rsidRP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от момента появления незначительной слабости в ногах до картины полного перерыва спинного мозга обычно проходит несколько дней. Диагностика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эпидурита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затруднена тем обстоятельством, что подобный же симптомокомплекс характерен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для поперечного миелита. Следует помнить, что изолированное воспаление вещества спинного мозга при отсутствии признаков поражения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головного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мозга встречается очень редко. Эпидурит требует безотлагательного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хирургического вмешательства, лечение же миелита проводят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консервативно.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Диагноз поперечного миелита следует рассматривать как предварительный, предполагающий в каждом случае нейрохирургическое обследование, в частности миелографию. Люмбальная пункция абсолютно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противопоказана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при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поясничной локализации эпидурита из-за опасения внесения инфекции в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подоболочечное пространство.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Спинальный инсульт может возникнуть при атеросклерозе сосудов спинного мозга или магистральных сосудов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аорты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(подключичные,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позвоночные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или подвздошные артерии), в результате сдавления сосудов спинного мозга извне, например грыжей межпозвоночного диска, отломками позвонков при травме, экстрамедуллярной опухолью или воспалительным инфильтратом.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Нарушение спинального кровообращения может быть также обусловлено артериовенозными пороками развития. Они чаще располагаются в шейном отделе и на уровне тораколюмбального перехода и представляют собой клубок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аномальных сосудов, размеры которого могут широко варьировать. Подобное образование может проявляться субарахноидальным кровотечением либо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ишемическим поражением вещества спинного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мозга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результате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механического сдавления. В части случаев спинальный инфаркт является осложнением расслаивающейся аневризмы аорты. Распознавание природы этого заболевания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на ранних этапах его развития является весьма трудным. Как правило, нарушения спинального кровообращения ишемического типа встречаются значительно чаще, чем геморрагического типа.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Клиническая картина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ишемического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спинального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инсульта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зависит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от распространенности ишемии как по длиннику, так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поперечнику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спинного мозга. Наиболее отчетливо очерчен синдром ишемии передней половины спинного мозга или так называемый синдром передней спинальной артерии,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который характеризуется остро возникающим выключением на том или ином уровне кровоснабжения передних 2/3 спинного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мозга.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результате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развивается тетраплегия или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параплегия,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сопровождаемая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нарушениями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поверхностных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видов чувствительности и функции тазовых органов. Глубокомышечное чувство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остается неповрежденным, так как кровоснабжение задних столбов при этом не страдает. Другим схожим и относительно часто встречающимся синдромом нарушения спинального кровообращения является симптомокомплекс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выключения большой поясничной артерии Адамкевича: остро развивающийся вялый паралич нижних конечностей, диссоциированное выпадение чувствительности с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верхней границей зоны иннервации от С4 до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зоны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иннервации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T</w:t>
      </w:r>
      <w:r w:rsidRPr="00784EA6">
        <w:rPr>
          <w:color w:val="000000"/>
          <w:sz w:val="28"/>
          <w:szCs w:val="28"/>
          <w:lang w:val="en-US"/>
        </w:rPr>
        <w:t>h</w:t>
      </w:r>
      <w:r w:rsidRPr="00784EA6">
        <w:rPr>
          <w:color w:val="000000"/>
          <w:sz w:val="28"/>
          <w:szCs w:val="28"/>
        </w:rPr>
        <w:t>2 нарушение функции тазовых органов.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Неотложная помощь. Наиболее частой причиной травмы спинного мозга являются дорожно-транспортные происшествия. Поэтому первым мероприятием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 таких случаях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является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квалифицированное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извлечение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пострадавших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 xml:space="preserve">из транспортного средства. При этом надо соблюдать основной принцип: сохранение неподвижности оси тела </w:t>
      </w:r>
      <w:r w:rsidR="00784EA6">
        <w:rPr>
          <w:color w:val="000000"/>
          <w:sz w:val="28"/>
          <w:szCs w:val="28"/>
        </w:rPr>
        <w:t>–</w:t>
      </w:r>
      <w:r w:rsidR="00784EA6" w:rsidRP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позвоночника при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правильной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транспортировке больного на щите, исключающей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сгибание,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боковые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вращательные движения. В первые часы после травмы проводят противошоковые мероприятия и лечение, направленное на нормализацию дыхания, кровообращения,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ликвидацию боли, борьбу с анемией, гипопротеинемией, нормализацию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гемостаза. Проводят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внутривенное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струйное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или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капельное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вливание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полиглюкина 400</w:t>
      </w:r>
      <w:r w:rsidR="00784EA6">
        <w:rPr>
          <w:color w:val="000000"/>
          <w:sz w:val="28"/>
          <w:szCs w:val="28"/>
        </w:rPr>
        <w:t>–</w:t>
      </w:r>
      <w:r w:rsidR="00784EA6" w:rsidRPr="00784EA6">
        <w:rPr>
          <w:color w:val="000000"/>
          <w:sz w:val="28"/>
          <w:szCs w:val="28"/>
        </w:rPr>
        <w:t>2</w:t>
      </w:r>
      <w:r w:rsidRPr="00784EA6">
        <w:rPr>
          <w:color w:val="000000"/>
          <w:sz w:val="28"/>
          <w:szCs w:val="28"/>
        </w:rPr>
        <w:t xml:space="preserve">000 мл, при показаниях переливание крови, плазмы, инъекции 1 мл </w:t>
      </w:r>
      <w:r w:rsidR="00784EA6" w:rsidRPr="00784EA6">
        <w:rPr>
          <w:color w:val="000000"/>
          <w:sz w:val="28"/>
          <w:szCs w:val="28"/>
        </w:rPr>
        <w:t>1</w:t>
      </w:r>
      <w:r w:rsidR="00784EA6">
        <w:rPr>
          <w:color w:val="000000"/>
          <w:sz w:val="28"/>
          <w:szCs w:val="28"/>
        </w:rPr>
        <w:t>%</w:t>
      </w:r>
      <w:r w:rsidRPr="00784EA6">
        <w:rPr>
          <w:color w:val="000000"/>
          <w:sz w:val="28"/>
          <w:szCs w:val="28"/>
        </w:rPr>
        <w:t xml:space="preserve"> раствора морфина гидрохлорида, </w:t>
      </w:r>
      <w:r w:rsidR="00784EA6" w:rsidRPr="00784EA6">
        <w:rPr>
          <w:color w:val="000000"/>
          <w:sz w:val="28"/>
          <w:szCs w:val="28"/>
        </w:rPr>
        <w:t>2</w:t>
      </w:r>
      <w:r w:rsidR="00784EA6">
        <w:rPr>
          <w:color w:val="000000"/>
          <w:sz w:val="28"/>
          <w:szCs w:val="28"/>
        </w:rPr>
        <w:t>%</w:t>
      </w:r>
      <w:r w:rsidRPr="00784EA6">
        <w:rPr>
          <w:color w:val="000000"/>
          <w:sz w:val="28"/>
          <w:szCs w:val="28"/>
        </w:rPr>
        <w:t xml:space="preserve"> раствора пантопона, 1</w:t>
      </w:r>
      <w:r w:rsidR="00784EA6">
        <w:rPr>
          <w:color w:val="000000"/>
          <w:sz w:val="28"/>
          <w:szCs w:val="28"/>
        </w:rPr>
        <w:t>–</w:t>
      </w:r>
      <w:r w:rsidR="00784EA6" w:rsidRPr="00784EA6">
        <w:rPr>
          <w:color w:val="000000"/>
          <w:sz w:val="28"/>
          <w:szCs w:val="28"/>
        </w:rPr>
        <w:t>2</w:t>
      </w:r>
      <w:r w:rsidRPr="00784EA6">
        <w:rPr>
          <w:color w:val="000000"/>
          <w:sz w:val="28"/>
          <w:szCs w:val="28"/>
        </w:rPr>
        <w:t xml:space="preserve"> мл 10</w:t>
      </w:r>
      <w:r w:rsidR="00784EA6">
        <w:rPr>
          <w:color w:val="000000"/>
          <w:sz w:val="28"/>
          <w:szCs w:val="28"/>
        </w:rPr>
        <w:t>–</w:t>
      </w:r>
      <w:r w:rsidR="00784EA6" w:rsidRPr="00784EA6">
        <w:rPr>
          <w:color w:val="000000"/>
          <w:sz w:val="28"/>
          <w:szCs w:val="28"/>
        </w:rPr>
        <w:t>20</w:t>
      </w:r>
      <w:r w:rsidR="00784EA6">
        <w:rPr>
          <w:color w:val="000000"/>
          <w:sz w:val="28"/>
          <w:szCs w:val="28"/>
        </w:rPr>
        <w:t>%</w:t>
      </w:r>
      <w:r w:rsidRPr="00784EA6">
        <w:rPr>
          <w:color w:val="000000"/>
          <w:sz w:val="28"/>
          <w:szCs w:val="28"/>
        </w:rPr>
        <w:t xml:space="preserve"> раствора кофеин-бензоата натрия, 2 мл </w:t>
      </w:r>
      <w:r w:rsidR="00784EA6" w:rsidRPr="00784EA6">
        <w:rPr>
          <w:color w:val="000000"/>
          <w:sz w:val="28"/>
          <w:szCs w:val="28"/>
        </w:rPr>
        <w:t>1</w:t>
      </w:r>
      <w:r w:rsidR="00784EA6">
        <w:rPr>
          <w:color w:val="000000"/>
          <w:sz w:val="28"/>
          <w:szCs w:val="28"/>
        </w:rPr>
        <w:t xml:space="preserve">% </w:t>
      </w:r>
      <w:r w:rsidRPr="00784EA6">
        <w:rPr>
          <w:color w:val="000000"/>
          <w:sz w:val="28"/>
          <w:szCs w:val="28"/>
        </w:rPr>
        <w:t>раствора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лазикса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 xml:space="preserve">внутримышечно, внутривенное введение маннитона </w:t>
      </w:r>
      <w:r w:rsidR="00784EA6">
        <w:rPr>
          <w:color w:val="000000"/>
          <w:sz w:val="28"/>
          <w:szCs w:val="28"/>
        </w:rPr>
        <w:t>–</w:t>
      </w:r>
      <w:r w:rsidR="00784EA6" w:rsidRP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200</w:t>
      </w:r>
      <w:r w:rsidR="00784EA6">
        <w:rPr>
          <w:color w:val="000000"/>
          <w:sz w:val="28"/>
          <w:szCs w:val="28"/>
        </w:rPr>
        <w:t>–</w:t>
      </w:r>
      <w:r w:rsidR="00784EA6" w:rsidRPr="00784EA6">
        <w:rPr>
          <w:color w:val="000000"/>
          <w:sz w:val="28"/>
          <w:szCs w:val="28"/>
        </w:rPr>
        <w:t>5</w:t>
      </w:r>
      <w:r w:rsidRPr="00784EA6">
        <w:rPr>
          <w:color w:val="000000"/>
          <w:sz w:val="28"/>
          <w:szCs w:val="28"/>
        </w:rPr>
        <w:t>00 мл 1</w:t>
      </w:r>
      <w:r w:rsidR="00784EA6" w:rsidRPr="00784EA6">
        <w:rPr>
          <w:color w:val="000000"/>
          <w:sz w:val="28"/>
          <w:szCs w:val="28"/>
        </w:rPr>
        <w:t>5</w:t>
      </w:r>
      <w:r w:rsidR="00784EA6">
        <w:rPr>
          <w:color w:val="000000"/>
          <w:sz w:val="28"/>
          <w:szCs w:val="28"/>
        </w:rPr>
        <w:t>%</w:t>
      </w:r>
      <w:r w:rsidRPr="00784EA6">
        <w:rPr>
          <w:color w:val="000000"/>
          <w:sz w:val="28"/>
          <w:szCs w:val="28"/>
        </w:rPr>
        <w:t xml:space="preserve"> раствора. В первые часы или сутки после травмы устраняют сдавление спинного мозга. С этой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целью проводят мероприятия, направленные на ликвидацию деформации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позвоночника, осуществляют репозицию сместившихся отломков позвонков и их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 xml:space="preserve">иммобилизацию. С первых же часов необходимо следить за функцией мочевого пузыря и кишечника (катетеризация мочевого пузыря с промыванием его </w:t>
      </w:r>
      <w:r w:rsidR="00784EA6" w:rsidRPr="00784EA6">
        <w:rPr>
          <w:color w:val="000000"/>
          <w:sz w:val="28"/>
          <w:szCs w:val="28"/>
        </w:rPr>
        <w:t>2</w:t>
      </w:r>
      <w:r w:rsidR="00784EA6">
        <w:rPr>
          <w:color w:val="000000"/>
          <w:sz w:val="28"/>
          <w:szCs w:val="28"/>
        </w:rPr>
        <w:t>%</w:t>
      </w:r>
      <w:r w:rsidRPr="00784EA6">
        <w:rPr>
          <w:color w:val="000000"/>
          <w:sz w:val="28"/>
          <w:szCs w:val="28"/>
        </w:rPr>
        <w:t xml:space="preserve"> раствором борной кислоты, клизмы). Для профилактики пролежней показаны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губчатые или пневматические матрацы, регулярное протирание камфорным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спиртом.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При спинальных инсультах назначают сосудорасширяющие средства и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препараты, стимулирующие сердечно-сосудистую деятельность (эуфиллин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10 мл 2,</w:t>
      </w:r>
      <w:r w:rsidR="00784EA6" w:rsidRPr="00784EA6">
        <w:rPr>
          <w:color w:val="000000"/>
          <w:sz w:val="28"/>
          <w:szCs w:val="28"/>
        </w:rPr>
        <w:t>4</w:t>
      </w:r>
      <w:r w:rsidR="00784EA6">
        <w:rPr>
          <w:color w:val="000000"/>
          <w:sz w:val="28"/>
          <w:szCs w:val="28"/>
        </w:rPr>
        <w:t>%</w:t>
      </w:r>
      <w:r w:rsidRPr="00784EA6">
        <w:rPr>
          <w:color w:val="000000"/>
          <w:sz w:val="28"/>
          <w:szCs w:val="28"/>
        </w:rPr>
        <w:t xml:space="preserve"> раствора внутривенно, копламин по 2 мл 1</w:t>
      </w:r>
      <w:r w:rsidR="00784EA6" w:rsidRPr="00784EA6">
        <w:rPr>
          <w:color w:val="000000"/>
          <w:sz w:val="28"/>
          <w:szCs w:val="28"/>
        </w:rPr>
        <w:t>5</w:t>
      </w:r>
      <w:r w:rsidR="00784EA6">
        <w:rPr>
          <w:color w:val="000000"/>
          <w:sz w:val="28"/>
          <w:szCs w:val="28"/>
        </w:rPr>
        <w:t>%</w:t>
      </w:r>
      <w:r w:rsidRPr="00784EA6">
        <w:rPr>
          <w:color w:val="000000"/>
          <w:sz w:val="28"/>
          <w:szCs w:val="28"/>
        </w:rPr>
        <w:t xml:space="preserve"> раствора внутримышечно, кордиамин по 1 мл подкожно или внутримышечно).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При нарушениях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кровообращения,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обусловленных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компрессией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спинного мозга, например выпадением грыжи межпозвонкового диска, показано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хирургическое вмешательство.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При эпидурите необходимо неотложное хирургическое лечение.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В остальных случаях неотложная помощь определяется характером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основного заболевания, вызвавшего парезы ног.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Госпитализация экстренная при травме спинного мозга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в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 xml:space="preserve">нейрохирургический стационар, срочная </w:t>
      </w:r>
      <w:r w:rsidR="00784EA6">
        <w:rPr>
          <w:color w:val="000000"/>
          <w:sz w:val="28"/>
          <w:szCs w:val="28"/>
        </w:rPr>
        <w:t>–</w:t>
      </w:r>
      <w:r w:rsidR="00784EA6" w:rsidRP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при эпидурите. В остальных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случаях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больных госпитализируют в неврологическое отделение.</w:t>
      </w:r>
    </w:p>
    <w:p w:rsidR="005840F5" w:rsidRDefault="005840F5" w:rsidP="00784E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B72E8" w:rsidRPr="00784EA6" w:rsidRDefault="00DB72E8" w:rsidP="00784E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84EA6">
        <w:rPr>
          <w:b/>
          <w:color w:val="000000"/>
          <w:sz w:val="28"/>
          <w:szCs w:val="32"/>
        </w:rPr>
        <w:t xml:space="preserve">4. </w:t>
      </w:r>
      <w:r w:rsidR="005840F5" w:rsidRPr="00784EA6">
        <w:rPr>
          <w:b/>
          <w:color w:val="000000"/>
          <w:sz w:val="28"/>
          <w:szCs w:val="32"/>
        </w:rPr>
        <w:t>Гемипарез</w:t>
      </w:r>
    </w:p>
    <w:p w:rsidR="005840F5" w:rsidRDefault="005840F5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Гемипарез, как правило, бывает центральным и обычно связан с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поражением головного и крайне редко спинного мозга. Острое развитие гемипареза в большинстве случаев обусловлено мозговым инсультом. Другие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причины</w:t>
      </w:r>
      <w:r w:rsidR="00784EA6">
        <w:rPr>
          <w:color w:val="000000"/>
          <w:sz w:val="28"/>
          <w:szCs w:val="28"/>
        </w:rPr>
        <w:t xml:space="preserve"> –</w:t>
      </w:r>
      <w:r w:rsidR="00784EA6" w:rsidRP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травма мозга, абсцесс, менингоэнцефалит, опухоли.</w:t>
      </w:r>
    </w:p>
    <w:p w:rsidR="00DB72E8" w:rsidRPr="00784EA6" w:rsidRDefault="00DB72E8" w:rsidP="00784E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По современной классификации острые нарушения мозгового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кровообращения подразделяются на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преходящие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нарушения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мозгового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кровообращения, оболочечные кровоизлияния, кровоизлияния в мозг, неэмболический</w:t>
      </w:r>
      <w:r w:rsidR="00784EA6">
        <w:rPr>
          <w:color w:val="000000"/>
          <w:sz w:val="28"/>
          <w:szCs w:val="28"/>
        </w:rPr>
        <w:t xml:space="preserve"> </w:t>
      </w:r>
      <w:r w:rsidRPr="00784EA6">
        <w:rPr>
          <w:color w:val="000000"/>
          <w:sz w:val="28"/>
          <w:szCs w:val="28"/>
        </w:rPr>
        <w:t>инфаркт мозга, эмболический инфаркт мозга, острую гипертоническую энцефалопатию. Ишемические поражения мозга встречаются в 3</w:t>
      </w:r>
      <w:r w:rsidR="00784EA6">
        <w:rPr>
          <w:color w:val="000000"/>
          <w:sz w:val="28"/>
          <w:szCs w:val="28"/>
        </w:rPr>
        <w:t>–</w:t>
      </w:r>
      <w:r w:rsidR="00784EA6" w:rsidRPr="00784EA6">
        <w:rPr>
          <w:color w:val="000000"/>
          <w:sz w:val="28"/>
          <w:szCs w:val="28"/>
        </w:rPr>
        <w:t>4</w:t>
      </w:r>
      <w:r w:rsidRPr="00784EA6">
        <w:rPr>
          <w:color w:val="000000"/>
          <w:sz w:val="28"/>
          <w:szCs w:val="28"/>
        </w:rPr>
        <w:t xml:space="preserve"> раза чаще геморрагических.</w:t>
      </w:r>
    </w:p>
    <w:p w:rsidR="005840F5" w:rsidRDefault="005840F5" w:rsidP="00784E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840F5" w:rsidRDefault="005840F5" w:rsidP="00784E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B72E8" w:rsidRDefault="005840F5" w:rsidP="00784E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784EA6">
        <w:rPr>
          <w:b/>
          <w:color w:val="000000"/>
          <w:sz w:val="28"/>
          <w:szCs w:val="32"/>
        </w:rPr>
        <w:t>Литература</w:t>
      </w:r>
    </w:p>
    <w:p w:rsidR="005840F5" w:rsidRPr="00784EA6" w:rsidRDefault="005840F5" w:rsidP="00784E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B72E8" w:rsidRPr="00784EA6" w:rsidRDefault="00DB72E8" w:rsidP="005840F5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784EA6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784EA6" w:rsidRPr="00784EA6">
        <w:rPr>
          <w:color w:val="000000"/>
          <w:sz w:val="28"/>
          <w:szCs w:val="28"/>
        </w:rPr>
        <w:t>Дж.Э.</w:t>
      </w:r>
      <w:r w:rsidR="00784EA6">
        <w:rPr>
          <w:color w:val="000000"/>
          <w:sz w:val="28"/>
          <w:szCs w:val="28"/>
        </w:rPr>
        <w:t> </w:t>
      </w:r>
      <w:r w:rsidR="00784EA6" w:rsidRPr="00784EA6">
        <w:rPr>
          <w:color w:val="000000"/>
          <w:sz w:val="28"/>
          <w:szCs w:val="28"/>
        </w:rPr>
        <w:t>Тинтиналли</w:t>
      </w:r>
      <w:r w:rsidRPr="00784EA6">
        <w:rPr>
          <w:color w:val="000000"/>
          <w:sz w:val="28"/>
          <w:szCs w:val="28"/>
        </w:rPr>
        <w:t>, Р</w:t>
      </w:r>
      <w:r w:rsidR="005840F5">
        <w:rPr>
          <w:color w:val="000000"/>
          <w:sz w:val="28"/>
          <w:szCs w:val="28"/>
        </w:rPr>
        <w:t>.</w:t>
      </w:r>
      <w:r w:rsidR="005840F5" w:rsidRPr="00784EA6">
        <w:rPr>
          <w:color w:val="000000"/>
          <w:sz w:val="28"/>
          <w:szCs w:val="28"/>
        </w:rPr>
        <w:t>Л</w:t>
      </w:r>
      <w:r w:rsidRPr="00784EA6">
        <w:rPr>
          <w:color w:val="000000"/>
          <w:sz w:val="28"/>
          <w:szCs w:val="28"/>
        </w:rPr>
        <w:t xml:space="preserve">. Кроума, </w:t>
      </w:r>
      <w:r w:rsidR="00784EA6" w:rsidRPr="00784EA6">
        <w:rPr>
          <w:color w:val="000000"/>
          <w:sz w:val="28"/>
          <w:szCs w:val="28"/>
        </w:rPr>
        <w:t>Э.</w:t>
      </w:r>
      <w:r w:rsidR="00784EA6">
        <w:rPr>
          <w:color w:val="000000"/>
          <w:sz w:val="28"/>
          <w:szCs w:val="28"/>
        </w:rPr>
        <w:t> </w:t>
      </w:r>
      <w:r w:rsidR="00784EA6" w:rsidRPr="00784EA6">
        <w:rPr>
          <w:color w:val="000000"/>
          <w:sz w:val="28"/>
          <w:szCs w:val="28"/>
        </w:rPr>
        <w:t>Руиза</w:t>
      </w:r>
      <w:r w:rsidRPr="00784EA6">
        <w:rPr>
          <w:color w:val="000000"/>
          <w:sz w:val="28"/>
          <w:szCs w:val="28"/>
        </w:rPr>
        <w:t xml:space="preserve">, </w:t>
      </w:r>
      <w:r w:rsidRPr="00784EA6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784EA6" w:rsidRPr="00784EA6">
        <w:rPr>
          <w:iCs/>
          <w:color w:val="000000"/>
          <w:sz w:val="28"/>
          <w:szCs w:val="28"/>
        </w:rPr>
        <w:t>В.И.</w:t>
      </w:r>
      <w:r w:rsidR="00784EA6">
        <w:rPr>
          <w:iCs/>
          <w:color w:val="000000"/>
          <w:sz w:val="28"/>
          <w:szCs w:val="28"/>
        </w:rPr>
        <w:t> </w:t>
      </w:r>
      <w:r w:rsidR="00784EA6" w:rsidRPr="00784EA6">
        <w:rPr>
          <w:iCs/>
          <w:color w:val="000000"/>
          <w:sz w:val="28"/>
          <w:szCs w:val="28"/>
        </w:rPr>
        <w:t>Кандрора</w:t>
      </w:r>
      <w:r w:rsidRPr="00784EA6">
        <w:rPr>
          <w:iCs/>
          <w:color w:val="000000"/>
          <w:sz w:val="28"/>
          <w:szCs w:val="28"/>
        </w:rPr>
        <w:t>,</w:t>
      </w:r>
      <w:r w:rsidRPr="00784EA6">
        <w:rPr>
          <w:color w:val="000000"/>
          <w:sz w:val="28"/>
        </w:rPr>
        <w:t xml:space="preserve"> </w:t>
      </w:r>
      <w:r w:rsidR="005840F5">
        <w:rPr>
          <w:iCs/>
          <w:color w:val="000000"/>
          <w:sz w:val="28"/>
          <w:szCs w:val="28"/>
        </w:rPr>
        <w:t>д.м.</w:t>
      </w:r>
      <w:r w:rsidRPr="00784EA6">
        <w:rPr>
          <w:iCs/>
          <w:color w:val="000000"/>
          <w:sz w:val="28"/>
          <w:szCs w:val="28"/>
        </w:rPr>
        <w:t xml:space="preserve">н. </w:t>
      </w:r>
      <w:r w:rsidR="00784EA6" w:rsidRPr="00784EA6">
        <w:rPr>
          <w:iCs/>
          <w:color w:val="000000"/>
          <w:sz w:val="28"/>
          <w:szCs w:val="28"/>
        </w:rPr>
        <w:t>М.В.</w:t>
      </w:r>
      <w:r w:rsidR="00784EA6">
        <w:rPr>
          <w:iCs/>
          <w:color w:val="000000"/>
          <w:sz w:val="28"/>
          <w:szCs w:val="28"/>
        </w:rPr>
        <w:t> </w:t>
      </w:r>
      <w:r w:rsidR="00784EA6" w:rsidRPr="00784EA6">
        <w:rPr>
          <w:iCs/>
          <w:color w:val="000000"/>
          <w:sz w:val="28"/>
          <w:szCs w:val="28"/>
        </w:rPr>
        <w:t>Неверовой</w:t>
      </w:r>
      <w:r w:rsidRPr="00784EA6">
        <w:rPr>
          <w:iCs/>
          <w:color w:val="000000"/>
          <w:sz w:val="28"/>
          <w:szCs w:val="28"/>
        </w:rPr>
        <w:t xml:space="preserve">, д-ра мед. наук </w:t>
      </w:r>
      <w:r w:rsidR="00784EA6" w:rsidRPr="00784EA6">
        <w:rPr>
          <w:iCs/>
          <w:color w:val="000000"/>
          <w:sz w:val="28"/>
          <w:szCs w:val="28"/>
        </w:rPr>
        <w:t>А.В.</w:t>
      </w:r>
      <w:r w:rsidR="00784EA6">
        <w:rPr>
          <w:iCs/>
          <w:color w:val="000000"/>
          <w:sz w:val="28"/>
          <w:szCs w:val="28"/>
        </w:rPr>
        <w:t> </w:t>
      </w:r>
      <w:r w:rsidR="00784EA6" w:rsidRPr="00784EA6">
        <w:rPr>
          <w:iCs/>
          <w:color w:val="000000"/>
          <w:sz w:val="28"/>
          <w:szCs w:val="28"/>
        </w:rPr>
        <w:t>Сучкова</w:t>
      </w:r>
      <w:r w:rsidRPr="00784EA6">
        <w:rPr>
          <w:iCs/>
          <w:color w:val="000000"/>
          <w:sz w:val="28"/>
          <w:szCs w:val="28"/>
        </w:rPr>
        <w:t>,</w:t>
      </w:r>
      <w:r w:rsidRPr="00784EA6">
        <w:rPr>
          <w:color w:val="000000"/>
          <w:sz w:val="28"/>
        </w:rPr>
        <w:t xml:space="preserve"> </w:t>
      </w:r>
      <w:r w:rsidR="005840F5">
        <w:rPr>
          <w:iCs/>
          <w:color w:val="000000"/>
          <w:sz w:val="28"/>
          <w:szCs w:val="28"/>
        </w:rPr>
        <w:t>к.м.</w:t>
      </w:r>
      <w:r w:rsidRPr="00784EA6">
        <w:rPr>
          <w:iCs/>
          <w:color w:val="000000"/>
          <w:sz w:val="28"/>
          <w:szCs w:val="28"/>
        </w:rPr>
        <w:t xml:space="preserve">н. </w:t>
      </w:r>
      <w:r w:rsidR="00784EA6" w:rsidRPr="00784EA6">
        <w:rPr>
          <w:iCs/>
          <w:color w:val="000000"/>
          <w:sz w:val="28"/>
          <w:szCs w:val="28"/>
        </w:rPr>
        <w:t>А.В.</w:t>
      </w:r>
      <w:r w:rsidR="00784EA6">
        <w:rPr>
          <w:iCs/>
          <w:color w:val="000000"/>
          <w:sz w:val="28"/>
          <w:szCs w:val="28"/>
        </w:rPr>
        <w:t> </w:t>
      </w:r>
      <w:r w:rsidR="00784EA6" w:rsidRPr="00784EA6">
        <w:rPr>
          <w:iCs/>
          <w:color w:val="000000"/>
          <w:sz w:val="28"/>
          <w:szCs w:val="28"/>
        </w:rPr>
        <w:t>Низового</w:t>
      </w:r>
      <w:r w:rsidRPr="00784EA6">
        <w:rPr>
          <w:iCs/>
          <w:color w:val="000000"/>
          <w:sz w:val="28"/>
          <w:szCs w:val="28"/>
        </w:rPr>
        <w:t xml:space="preserve">, </w:t>
      </w:r>
      <w:r w:rsidR="00784EA6" w:rsidRPr="00784EA6">
        <w:rPr>
          <w:iCs/>
          <w:color w:val="000000"/>
          <w:sz w:val="28"/>
          <w:szCs w:val="28"/>
        </w:rPr>
        <w:t>Ю.Л.</w:t>
      </w:r>
      <w:r w:rsidR="00784EA6">
        <w:rPr>
          <w:iCs/>
          <w:color w:val="000000"/>
          <w:sz w:val="28"/>
          <w:szCs w:val="28"/>
        </w:rPr>
        <w:t> </w:t>
      </w:r>
      <w:r w:rsidR="00784EA6" w:rsidRPr="00784EA6">
        <w:rPr>
          <w:iCs/>
          <w:color w:val="000000"/>
          <w:sz w:val="28"/>
          <w:szCs w:val="28"/>
        </w:rPr>
        <w:t>Амченкова</w:t>
      </w:r>
      <w:r w:rsidRPr="00784EA6">
        <w:rPr>
          <w:iCs/>
          <w:color w:val="000000"/>
          <w:sz w:val="28"/>
          <w:szCs w:val="28"/>
        </w:rPr>
        <w:t xml:space="preserve">; под ред. </w:t>
      </w:r>
      <w:r w:rsidR="005840F5" w:rsidRPr="00784EA6">
        <w:rPr>
          <w:iCs/>
          <w:color w:val="000000"/>
          <w:sz w:val="28"/>
          <w:szCs w:val="28"/>
        </w:rPr>
        <w:t>д</w:t>
      </w:r>
      <w:r w:rsidRPr="00784EA6">
        <w:rPr>
          <w:iCs/>
          <w:color w:val="000000"/>
          <w:sz w:val="28"/>
          <w:szCs w:val="28"/>
        </w:rPr>
        <w:t xml:space="preserve">.м.н. </w:t>
      </w:r>
      <w:r w:rsidR="00784EA6" w:rsidRPr="00784EA6">
        <w:rPr>
          <w:iCs/>
          <w:color w:val="000000"/>
          <w:sz w:val="28"/>
          <w:szCs w:val="28"/>
        </w:rPr>
        <w:t>В.Т.</w:t>
      </w:r>
      <w:r w:rsidR="00784EA6">
        <w:rPr>
          <w:iCs/>
          <w:color w:val="000000"/>
          <w:sz w:val="28"/>
          <w:szCs w:val="28"/>
        </w:rPr>
        <w:t> </w:t>
      </w:r>
      <w:r w:rsidR="00784EA6" w:rsidRPr="00784EA6">
        <w:rPr>
          <w:iCs/>
          <w:color w:val="000000"/>
          <w:sz w:val="28"/>
          <w:szCs w:val="28"/>
        </w:rPr>
        <w:t>Ивашкина</w:t>
      </w:r>
      <w:r w:rsidRPr="00784EA6">
        <w:rPr>
          <w:iCs/>
          <w:color w:val="000000"/>
          <w:sz w:val="28"/>
          <w:szCs w:val="28"/>
        </w:rPr>
        <w:t xml:space="preserve">, </w:t>
      </w:r>
      <w:r w:rsidR="005840F5" w:rsidRPr="00784EA6">
        <w:rPr>
          <w:iCs/>
          <w:color w:val="000000"/>
          <w:sz w:val="28"/>
          <w:szCs w:val="28"/>
        </w:rPr>
        <w:t>д.м.н.</w:t>
      </w:r>
      <w:r w:rsidR="005840F5">
        <w:rPr>
          <w:iCs/>
          <w:color w:val="000000"/>
          <w:sz w:val="28"/>
          <w:szCs w:val="28"/>
        </w:rPr>
        <w:t xml:space="preserve"> </w:t>
      </w:r>
      <w:r w:rsidR="00784EA6" w:rsidRPr="00784EA6">
        <w:rPr>
          <w:iCs/>
          <w:color w:val="000000"/>
          <w:sz w:val="28"/>
          <w:szCs w:val="28"/>
        </w:rPr>
        <w:t>П.Г.</w:t>
      </w:r>
      <w:r w:rsidR="00784EA6">
        <w:rPr>
          <w:iCs/>
          <w:color w:val="000000"/>
          <w:sz w:val="28"/>
          <w:szCs w:val="28"/>
        </w:rPr>
        <w:t> </w:t>
      </w:r>
      <w:r w:rsidR="00784EA6" w:rsidRPr="00784EA6">
        <w:rPr>
          <w:iCs/>
          <w:color w:val="000000"/>
          <w:sz w:val="28"/>
          <w:szCs w:val="28"/>
        </w:rPr>
        <w:t>Брюсова</w:t>
      </w:r>
      <w:r w:rsidRPr="00784EA6">
        <w:rPr>
          <w:iCs/>
          <w:color w:val="000000"/>
          <w:sz w:val="28"/>
          <w:szCs w:val="28"/>
        </w:rPr>
        <w:t>; Москва «Медицина» 2001</w:t>
      </w:r>
    </w:p>
    <w:p w:rsidR="00DB72E8" w:rsidRPr="005840F5" w:rsidRDefault="00784EA6" w:rsidP="005840F5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4EA6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784EA6">
        <w:rPr>
          <w:color w:val="000000"/>
          <w:sz w:val="28"/>
          <w:szCs w:val="28"/>
        </w:rPr>
        <w:t>О.М.</w:t>
      </w:r>
      <w:r w:rsidR="00DB72E8" w:rsidRPr="00784EA6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DB72E8" w:rsidRPr="005840F5" w:rsidSect="00784EA6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2EC" w:rsidRDefault="003122EC">
      <w:r>
        <w:separator/>
      </w:r>
    </w:p>
  </w:endnote>
  <w:endnote w:type="continuationSeparator" w:id="0">
    <w:p w:rsidR="003122EC" w:rsidRDefault="0031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E8" w:rsidRDefault="00DB72E8" w:rsidP="007D1F67">
    <w:pPr>
      <w:pStyle w:val="a4"/>
      <w:framePr w:wrap="around" w:vAnchor="text" w:hAnchor="margin" w:xAlign="right" w:y="1"/>
      <w:rPr>
        <w:rStyle w:val="a6"/>
      </w:rPr>
    </w:pPr>
  </w:p>
  <w:p w:rsidR="00DB72E8" w:rsidRDefault="00DB72E8" w:rsidP="00DB72E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E8" w:rsidRDefault="00D23DF4" w:rsidP="007D1F67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DB72E8" w:rsidRDefault="00DB72E8" w:rsidP="00DB72E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2EC" w:rsidRDefault="003122EC">
      <w:r>
        <w:separator/>
      </w:r>
    </w:p>
  </w:footnote>
  <w:footnote w:type="continuationSeparator" w:id="0">
    <w:p w:rsidR="003122EC" w:rsidRDefault="00312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2E8"/>
    <w:rsid w:val="003122EC"/>
    <w:rsid w:val="005840F5"/>
    <w:rsid w:val="006F2F92"/>
    <w:rsid w:val="00784EA6"/>
    <w:rsid w:val="007D1F67"/>
    <w:rsid w:val="009C6D28"/>
    <w:rsid w:val="00A06901"/>
    <w:rsid w:val="00D23DF4"/>
    <w:rsid w:val="00DB72E8"/>
    <w:rsid w:val="00E365D7"/>
    <w:rsid w:val="00E84640"/>
    <w:rsid w:val="00F4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CA2425-4C4E-4B48-8331-35AE7E9A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E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72E8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DB72E8"/>
  </w:style>
  <w:style w:type="paragraph" w:styleId="a4">
    <w:name w:val="footer"/>
    <w:basedOn w:val="a"/>
    <w:link w:val="a5"/>
    <w:uiPriority w:val="99"/>
    <w:rsid w:val="00DB72E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B72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2014-02-25T06:30:00Z</dcterms:created>
  <dcterms:modified xsi:type="dcterms:W3CDTF">2014-02-25T06:30:00Z</dcterms:modified>
</cp:coreProperties>
</file>