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6A" w:rsidRDefault="004E1C6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Патентоведение: общие положения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Патентный закон Российской Федерации принят 23 сентября 1992 года</w:t>
      </w:r>
      <w:r>
        <w:rPr>
          <w:color w:val="000000"/>
          <w:sz w:val="24"/>
          <w:szCs w:val="24"/>
        </w:rPr>
        <w:t xml:space="preserve"> и вступил в силу с момента его опубликования- 14 октября того же года.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регулирует отношения, связанные с созданием, охраной и использованием изобретений, полезных моделей и промышленных образцов. Для их общего обозначения используется термин “промышленная собственность”, сравнительно недавно воспринятый союзным, а затем и Российским законодательством из международной практики. </w:t>
      </w:r>
      <w:r>
        <w:rPr>
          <w:rStyle w:val="a3"/>
          <w:b w:val="0"/>
          <w:bCs w:val="0"/>
          <w:color w:val="000000"/>
          <w:sz w:val="24"/>
          <w:szCs w:val="24"/>
        </w:rPr>
        <w:t>Под промышленной собственностью в широком смысле обычно понимают исключительные права на охраняемые законом результаты интеллектуальной деятельности, которые используются в производстве, а также на охраняемые законом символы и обозначения, которые используются в торговом обороте, - фирменные наименования, товарные знаки, обозначения наименования происхождения товаров.</w:t>
      </w:r>
      <w:r>
        <w:rPr>
          <w:color w:val="000000"/>
          <w:sz w:val="24"/>
          <w:szCs w:val="24"/>
        </w:rPr>
        <w:t xml:space="preserve"> Попутно следует заметить, что права промышленной собственности нельзя рассматривать как разновидность права собственности, хотя такое заблуждение бытует в силу общности терминов. В первом случае речь идет о правах на результаты духовной деятельности, т.е. нематериальные объекты, тогда как право собственности относится к категории вещных прав. Отсюда различие в содержании правомочий владельцев исключительных прав на результаты духовной деятельности и собственника, различия в самом правовом режиме тех или других объектов.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закрепляет исключительные права на использование и распоряжение охраняемыми объектами за патентообладателем. Хотя союзное законодательство и предусматривало возможность получения патента на изобретения и промышленные образцы, для отечественных заявителей этот патент имел номинальное значение по сравнению с авторским свидетельством. Достаточно сказать, что изобретение и промышленные образцы, созданные работниками предприятий и организаций в связи с выполнением служебных заданий, не подпадали под патентную охрану. И возникла парадоксальная ситуация, когда ни автор, ни предприятие, где создавалась новейшая технология, не могли защитить ее патентом в своей стране и, следовательно, не имели возможности самостоятельно ею распоряжаться, в то время как эту технологию, защищенную авторским свидетельством, могли свободно и безвозмездно использовать любые государственные и общественные предприятия. Для этого не требовалась лицензия. Тем самым промышленная собственность исключалась из экономического оборота, а патенты в Советском Союзе получали иностранцы и изобретатели-одиночки. Причем возможность реализации и этих патентов была ничтожной, поскольку не было рынка промышленной собственности.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современных условиях правовые и экономические реформы и способы использования патентовладельцем своих исключительных прав достаточно многообразны.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В соответствии с Законом РСФСР о приватизации государственных и муниципальных предприятий права промышленной собственности включаются в состав приватизируемого имущества (статья 1.)</w:t>
      </w:r>
      <w:r>
        <w:rPr>
          <w:color w:val="000000"/>
          <w:sz w:val="24"/>
          <w:szCs w:val="24"/>
        </w:rPr>
        <w:t xml:space="preserve">. В соответствии с Законом о залоге они могут быть предметом залога. Закон РСФСР об инвестиционной деятельности относит к объектам инвестиционной деятельности в числе прочих имущественных прав также </w:t>
      </w:r>
      <w:r>
        <w:rPr>
          <w:rStyle w:val="a3"/>
          <w:b w:val="0"/>
          <w:bCs w:val="0"/>
          <w:color w:val="000000"/>
          <w:sz w:val="24"/>
          <w:szCs w:val="24"/>
        </w:rPr>
        <w:t>“права на интеллектуальную собственность” (статья 3). Следовательно, патентные права можно реализовать как инвестиции, в частности в виде паевого взноса в уставный фонд акционерного общества или иного хозяйственного объединения.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это свидетельствует о том, что комментируемый Закон обеспечивает необходимую охрану патентных прав для их широкого включения в экономический оборот. Вот почему законодательство об охране промышленной собственности затрагивает интересы не только самих творцов технических новшеств, но и широкого круга предпринимателей, использующих эти новшества в своей производственной деятельности, а также в сфере услуг.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в практике уже известны случаи недобросовестного использования (чаще всего со стороны должностных лиц) открывшихся возможностей реализации исключительных прав в хозяйственном обороте, особенно при приватизации, а также при создании различных хозяйственных объединений. Не редко к исключительным правам, вносимым в качестве паевого взноса, вопреки действующему законодательству, стали приравнивать профессиональные знания отдельных граждан либо их организационную и иную служебную деятельность. В этой связи было принято специальное постановление, в котором разъясняется, </w:t>
      </w:r>
      <w:r>
        <w:rPr>
          <w:rStyle w:val="a3"/>
          <w:b w:val="0"/>
          <w:bCs w:val="0"/>
          <w:color w:val="000000"/>
          <w:sz w:val="24"/>
          <w:szCs w:val="24"/>
        </w:rPr>
        <w:t>что вкладом юридических и физических лиц может быть только имущество, в том числе патенты, лицензии и другие документальные подтверждения вносимых имущественных прав.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комментируемом Законе имеется раздел, посвященный имущественным правам патентообладателя. Это раздел четвертый - “Исключительные права на использование изобретений, полезных моделей и промышленных образцов”. Вместе с тем само понятие патента и перечень удостоверяемых им прав содержится в разделе 1 Закона. С учетом этого, а также центрального места, занимаемого исключительными правами в системе патентной охраны промышленной собственности, комментарий 4-го раздела Закона дан сразу после первого раздела. Остальные разделы комментируются в той же последовательности, в какой они помещены в Законе.</w:t>
      </w:r>
    </w:p>
    <w:p w:rsidR="004E1C6A" w:rsidRDefault="004E1C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Законодательство об охране промышленной собственности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Патентное ведомство (ст.ст. 1-2 Закона)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Патентный Закон охватывает имущественные и связанные с ними личные неимущественные отношения, возникающие по поводу объектов промышленной собственности в процессе их создания, правовой охраны и использования (ст.1). По предмету регулирования Закон относится к гражданскому законодательству.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Российской Федерации включает гражданское законодательство, в том числе правовое регулирование интеллектуальной собственности, в сферу исключительной компетенции федеральных органов (п.о. ст.71.)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 Закон о товарных знаках, знаках обслуживания и наименованиях мест происхождения товаров, Закон о правовой охране топологий интегральных микросхем, Закон о правовой охране программ электронно-вычислительных машин и баз данных и, наконец, Закон об авторском праве и смежных правах. Причём все эти законы предусматривают возможность принятия на их основе законодательных актов республик, хотя по своей форме и содержанию это законы прямого действия.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территории России действуют также нормы международных договоров в области охраны промышленной собственности. </w:t>
      </w:r>
      <w:r>
        <w:rPr>
          <w:rStyle w:val="a3"/>
          <w:b w:val="0"/>
          <w:bCs w:val="0"/>
          <w:color w:val="000000"/>
          <w:sz w:val="24"/>
          <w:szCs w:val="24"/>
        </w:rPr>
        <w:t>Как правопреемник Советского Союза Россия участвует в Парижской конвенции по охране промышленной собственности, Договоре о патентной кооперации 1970 года, Мадридской конвенции о международной регистрации товарных знаков 1973 г., и двухсторонних договорах с рядом европейских стран о правовой охране промышленной собственности</w:t>
      </w:r>
      <w:r>
        <w:rPr>
          <w:color w:val="000000"/>
          <w:sz w:val="24"/>
          <w:szCs w:val="24"/>
        </w:rPr>
        <w:t xml:space="preserve"> (в частности с Австрией, Францией и др.).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участник Парижской конвенции Россия вошла в Международный Союз по охране промышленной собственности, образованный его участниками в 1893 году (Парижский союз) и Конвенцию о создании Всемирной организации интеллектуальной собственности 1967г. (ВОИС), объединяющих несколько международных союзов.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Парижская конвенция является наиболее представительным многосторонним международным договором: в ней участвуют около ста государств. Основная цель Конвенции - облегчить гражданам и юридическим лицам государств, входящих в Конвенцию, взаимную защиту прав на изобретения, промышленные образцы и другие объекты промышленной собственности.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частности, участие в ней России создаёт наиболее приятные условия для приобретения, защиты и использования промышленных прав иностранцами в России, а россиянами в зарубежных странах, т.е. иностранцы в каждой стране - участнице Конвенции пользуются теми же правами и преимуществами, которые имеют в данной области собственные граждане и юридические лица (принцип предоставления национального режима).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важнейшим субъективным правам граждан и организаций государств - участников Конвенции относятся: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получения конвенционного приоритета;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получения выставочного приоритета;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изобретателя на указание его имени в патенте.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Нормы, обеспечивающие эти права, включены в Патентный закон. Важное значение для охраны общественных интересов имеют такие правила о свободном использовании изобретений и промышленных образцов, о праве преждепользования, о принудительных лицензиях и др.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цель Договора о международной патентной кооперации (принятая аббревиатура - РСТ) - упростить и удешевить национальную процедуру выдачи патента. Для этого предусмотрена возможность подачи единой так называемой “международной заявки” во всех странах-участницах Договора (которые заявитель указал в заявке), возложение некоторых функций по экспертизе “международных заявок” на отдельные ведомства стран-участниц для проведения единой международной оценки заявки, предоставления различных патентных услуг, связанных с экспертизой заявок. В соответствии с Договором о патентной кооперации такие функции в России возложены на Всероссийский научно-исследовательский институт патентной экспертизы (ВНИИГПЭ). В рамках Договора он признан Международным поисковым органом и Органом международной предварительной экспертизы. Положения Договора распространяются только на изобретения и полезные модели.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международных договоров имеют приоритет перед правилами гражданского законодательства. Этот общий принцип гражданского законодательства отражен и Патентном законе, предусматривающем, что если международным договором Российской Федерации установлены иные правила, чем те, которые содержатся в законе, то действуют правила международного договора (ст.37).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Центральным органом федеральной исполнительной власти, на который возложено выполнение функций государственного патентного ведомства, является Комитет Российской Федерации по патентам и товарным знакам (Роспатент). Этот Комитет осуществляет единую государственную политику в области охраны промышленной собственности, включая охрану прав на изобретения, полезные модели, промышленные образцы, товарные знаки, знаки обслуживания, наименование места происхождения товаров, а также в области правовой охраны программ для электронно-вычислительных машин, баз данных и топологий интегральных микросхем.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направления деятельности Роспатента определены в Законе. Комитет выполняет следующие функции: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принимает к рассмотрению заявки на изобретения, полезные модели и промышленные образцы;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 по ним экспертизу;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государственную регистрацию изобретений полезных моделей и промышленных образцов;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выдаёт от имени государства патенты и публикует официальные сведения.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Роспатент разрешает также споры, связанные с рассмотрением заявок. Этим занимается специальная организация Роспатента - Апелляционная палата. Для окончательного рассмотрения споров, связанных с выдачей патентов, Закон предусматривает создание независимого вневедомственного органа - Высшей патентной палаты Российской Федерации.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Роспатенту предоставлено, кроме того, право разрабатывать, принимать и издавать в пределах своей компетенции правила и разъяснения по применению законодательства об охране промышленной собственности, обязательные к исполнению на всей территории России; регистрировать лицензионные договоры о предоставлении прав на использование объектов промышленной собственности, договоры об уступке патентов и товарных знаков и о залоге прав на объекты промышленной собственности.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числе новых задач, выполняемых Роспатентом, следует отметить аттестацию и регистрацию патентных поверенных, а также контроль за их деятельностью.</w:t>
      </w:r>
    </w:p>
    <w:p w:rsidR="004E1C6A" w:rsidRDefault="004E1C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Охранные документы (ст. 3 Закона)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Документ, удостоверяющий права на изобретение и на промышленный образец, именуется патентом.</w:t>
      </w:r>
      <w:r>
        <w:rPr>
          <w:color w:val="000000"/>
          <w:sz w:val="24"/>
          <w:szCs w:val="24"/>
        </w:rPr>
        <w:t xml:space="preserve"> Иначе называется документ, удостоверяющий охрану полезной модели: он именуется свидетельством. Установлены также различные максимальные сроки их действия: патент на изобретение действителен в течение 20 лет со дня поступления заявки в Роспатент, патент на промышленный образец - в течение 10 лет с правом продления этого срока не более чем на 5 лет, если своевременно подано ходатайство о продлении срока и уплачена установленная за продление пошлина.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Свидетельство на полезную модель действует в течение 5 лет со дня поступления заявки в Роспатент. По ходатайству обладателя свидетельства срок может быть продлён, но не более чем на 3 года.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действует единая патентная охрана объектов промышленной собственности. Поэтому вполне правомерно Закон в качестве общего термина для обозначения всех трёх охранных документов использует наименование патент, которое в том же значении употребляется в данной работе. Хотя, конечно, имеются определённые различия в условиях выдачи каждого из трёх документов и их действии, но они обусловлены исключительно особенностями самих охраняемых объектов - изобретений, промышленных образцов и полезных моделей.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совершение связанных с получением патентов юридически значимых действий, а также за поддержание патентов в силе взимаются пошлины, которые устанавливает Правительство Российской Федерации.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Патент удостоверяет: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приоритет изобретения, промышленного образца, полезной модели. Понятие приоритета тесно связано с подачей заявки (подробнее условия установления приоритета излагаются в разделе, посвящённом рассмотрению заявок на получение патента); 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авторство создателя защищаемого новшества; 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исключительное право владельца патента на использование охраняемого объекта. 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Автором изобретения, полезной модели, промышленного образца признается гражданин (независимо от возраста), в результате творческой деятельности которого создано изобретение, полезная модель или промышленный образец. Основным критерием служит факт создания, т.е. творческий самостоятельный характер изобретательской деятельности. Авторство юридических лиц не признаётся.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Законодатель четко отграничивает автора от других сотрудничавших с ним лиц, которые могут быть причастны к работе, связанной с исследовательской деятельностью, в процессе которой создан охраноспособный объект, в частности, тех, кто оказал автору техническую, организационную и материальную помощь либо помог оформить права, провести испытания, изготовить техническую документацию и т.д. </w:t>
      </w:r>
      <w:r>
        <w:rPr>
          <w:rStyle w:val="a3"/>
          <w:b w:val="0"/>
          <w:bCs w:val="0"/>
          <w:color w:val="000000"/>
          <w:sz w:val="24"/>
          <w:szCs w:val="24"/>
        </w:rPr>
        <w:t>Эти лица не могут быть признаны авторами</w:t>
      </w:r>
      <w:r>
        <w:rPr>
          <w:color w:val="000000"/>
          <w:sz w:val="24"/>
          <w:szCs w:val="24"/>
        </w:rPr>
        <w:t>, поскольку их труд нельзя расценить в качестве творческого вклада в создание соответствующего новшества.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если изобретение, промышленный образец или полезная модель были созданы совместным творческим трудом нескольких изобретателей, все они считаются его авторами (соавторами). В этом случае для осуществления авторских правомочий в отношении созданного ими всеми объекта, т.е., для распоряжения им, требуется согласие всех авторов. Договорённость об условиях осуществления совместных прав может быть оформлена путём заключения соглашения между соавторами.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авторства на результаты интеллектуальной деятельности относится к основным гражданским правам, субъектом которых может быть российский гражданин (п.2 ст.9 Основ гражданского законодательства). </w:t>
      </w:r>
      <w:r>
        <w:rPr>
          <w:rStyle w:val="a3"/>
          <w:b w:val="0"/>
          <w:bCs w:val="0"/>
          <w:color w:val="000000"/>
          <w:sz w:val="24"/>
          <w:szCs w:val="24"/>
        </w:rPr>
        <w:t>Право авторства является личным правом. Оно неотчуждаемо: его нельзя переступить другим лицам, это право охраняется бессрочно и не переходит по наследству в отличие от имущественных прав, удостоверенных патентом.</w:t>
      </w:r>
    </w:p>
    <w:p w:rsidR="004E1C6A" w:rsidRDefault="004E1C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Иностранные граждане пользуются авторскими правами наравне с гражданами Российской Федерации на основе международных договоров или принципа взаимности (ст.36 Закона).</w:t>
      </w:r>
    </w:p>
    <w:p w:rsidR="004E1C6A" w:rsidRDefault="004E1C6A">
      <w:bookmarkStart w:id="0" w:name="_GoBack"/>
      <w:bookmarkEnd w:id="0"/>
    </w:p>
    <w:sectPr w:rsidR="004E1C6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54"/>
    <w:rsid w:val="00464C54"/>
    <w:rsid w:val="004E1C6A"/>
    <w:rsid w:val="00532C3A"/>
    <w:rsid w:val="005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01E3FD-3E5E-4036-BA7C-A49DD7BA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9641</Words>
  <Characters>5496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Патентоведение: общие положения</vt:lpstr>
    </vt:vector>
  </TitlesOfParts>
  <Company>PERSONAL COMPUTERS</Company>
  <LinksUpToDate>false</LinksUpToDate>
  <CharactersWithSpaces>15107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Патентоведение: общие положения</dc:title>
  <dc:subject/>
  <dc:creator>USER</dc:creator>
  <cp:keywords/>
  <dc:description/>
  <cp:lastModifiedBy>admin</cp:lastModifiedBy>
  <cp:revision>2</cp:revision>
  <dcterms:created xsi:type="dcterms:W3CDTF">2014-01-26T16:31:00Z</dcterms:created>
  <dcterms:modified xsi:type="dcterms:W3CDTF">2014-01-26T16:31:00Z</dcterms:modified>
</cp:coreProperties>
</file>