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E6F" w:rsidRPr="00A55905" w:rsidRDefault="00851E6F" w:rsidP="00851E6F">
      <w:pPr>
        <w:spacing w:before="120"/>
        <w:jc w:val="center"/>
        <w:rPr>
          <w:b/>
          <w:bCs/>
          <w:sz w:val="32"/>
          <w:szCs w:val="32"/>
        </w:rPr>
      </w:pPr>
      <w:r w:rsidRPr="00A55905">
        <w:rPr>
          <w:b/>
          <w:bCs/>
          <w:sz w:val="32"/>
          <w:szCs w:val="32"/>
        </w:rPr>
        <w:t>Передача основных средств в уставный капитал другой организации</w:t>
      </w:r>
    </w:p>
    <w:p w:rsidR="00851E6F" w:rsidRPr="00AE2034" w:rsidRDefault="00851E6F" w:rsidP="00851E6F">
      <w:pPr>
        <w:spacing w:before="120"/>
        <w:ind w:firstLine="567"/>
        <w:jc w:val="both"/>
      </w:pPr>
      <w:r w:rsidRPr="00AE2034">
        <w:t xml:space="preserve">Если основное средство вносится в счет вклада в уставный капитал акционерного общества, то в соответствии с пунктом 3 статьи 34 Федерального закона от 26 декабря 1995 года №208-ФЗ «Об акционерных обществах» при оплате акций неденежными средствами, для определения рыночной стоимости передаваемого основного средства, должен привлекаться независимый оценщик. Величина денежной оценки, произведенная учредителями акционерного общества и советом директоров, не может быть выше величины оценки, произведенной независимым оценщиком. </w:t>
      </w:r>
    </w:p>
    <w:p w:rsidR="00851E6F" w:rsidRPr="00AE2034" w:rsidRDefault="00851E6F" w:rsidP="00851E6F">
      <w:pPr>
        <w:spacing w:before="120"/>
        <w:ind w:firstLine="567"/>
        <w:jc w:val="both"/>
      </w:pPr>
      <w:r w:rsidRPr="00AE2034">
        <w:t xml:space="preserve">Если основное средство вносится в счет вклада в уставный капитал общества с ограниченной ответственностью, то необходимо руководствоваться пунктом 2 статьи 15 Федерального закона от 8 февраля 1998 года №14-ФЗ «Об обществах с ограниченной ответственностью». В соответствии с этим пунктом денежная оценка неденежных вкладов в уставный капитал общества, вносимых участниками общества, утверждается единогласным решением общего собрания участников общества. Если номинальная стоимость (увеличение номинальной стоимости) доли участника общества в уставном капитале общества, оплачиваемой неденежным вкладом, составляет более двухсот минимальных размеров оплаты труда, установленных федеральным законом на дату представления документов для государственной регистрации общества или соответствующих изменений в уставе общества, такой вклад должен оцениваться независимым оценщиком. Номинальная стоимость (увеличение номинальной стоимости) доли участника общества, оплачиваемой таким неденежным вкладом, не может превышать сумму оценки указанного вклада, определенную независимым оценщиком. </w:t>
      </w:r>
    </w:p>
    <w:p w:rsidR="00851E6F" w:rsidRDefault="00851E6F" w:rsidP="00851E6F">
      <w:pPr>
        <w:spacing w:before="120"/>
        <w:ind w:firstLine="567"/>
        <w:jc w:val="both"/>
      </w:pPr>
      <w:r w:rsidRPr="00AE2034">
        <w:t xml:space="preserve">В соответствии с Планом счетов для отражения операций, связанных с внесением вкладов в уставные (складочные) капиталы других организаций, предназначен счет 58 «Финансовые вложения» субсчет «Паи и акции», по сумме оценки указанного вклада, определенную независимым оценщиком. </w:t>
      </w:r>
      <w:r>
        <w:t xml:space="preserve"> </w:t>
      </w:r>
    </w:p>
    <w:p w:rsidR="00851E6F" w:rsidRPr="00A55905" w:rsidRDefault="00851E6F" w:rsidP="00851E6F">
      <w:pPr>
        <w:spacing w:before="120"/>
        <w:jc w:val="center"/>
        <w:rPr>
          <w:b/>
          <w:bCs/>
          <w:sz w:val="28"/>
          <w:szCs w:val="28"/>
        </w:rPr>
      </w:pPr>
      <w:r w:rsidRPr="00A55905">
        <w:rPr>
          <w:b/>
          <w:bCs/>
          <w:sz w:val="28"/>
          <w:szCs w:val="28"/>
        </w:rPr>
        <w:t xml:space="preserve">Порядок учета НДС </w:t>
      </w:r>
    </w:p>
    <w:p w:rsidR="00851E6F" w:rsidRPr="00AE2034" w:rsidRDefault="00851E6F" w:rsidP="00851E6F">
      <w:pPr>
        <w:spacing w:before="120"/>
        <w:ind w:firstLine="567"/>
        <w:jc w:val="both"/>
      </w:pPr>
      <w:r w:rsidRPr="00AE2034">
        <w:t xml:space="preserve">Пунктом 3 статьи 39 НК РФ установлено, что не признается реализацией товаров, работ или услуг передача имущества, если такая передача носит инвестиционный характер, включая вклады в уставный (складочный) капитал хозяйственных обществ и товариществ. </w:t>
      </w:r>
    </w:p>
    <w:p w:rsidR="00851E6F" w:rsidRPr="00AE2034" w:rsidRDefault="00851E6F" w:rsidP="00851E6F">
      <w:pPr>
        <w:spacing w:before="120"/>
        <w:ind w:firstLine="567"/>
        <w:jc w:val="both"/>
      </w:pPr>
      <w:r w:rsidRPr="00AE2034">
        <w:t xml:space="preserve">То есть, основное средство уже не используется в деятельности, облагаемой НДС. Однако, может так случится, что основное средство, переданное уставный капитал другой организации, еще не до конца самортизировано. Тогда возникает вопрос: следует ли восстанавливать «входной» НДС? Налоговики считают, что сумму входного НДС, которая приходится на остаточную стоимость переданных основных средств, фирма обязана восстановить. Свидетельством этого являются многочисленные судебные разбирательства, а также Письмо МНС России от 30 июля 2004 года №03-1-08/1711/15@ «О налоге на добавленную стоимость». Чиновники объясняют свою позицию тем, что списанное оборудование уже не используется в деятельности, облагаемой НДС (подпункт 1 пункта 2 статьи 171 НК РФ), а следовательно, нет оснований применять налоговый вычет. </w:t>
      </w:r>
    </w:p>
    <w:p w:rsidR="00851E6F" w:rsidRDefault="00851E6F" w:rsidP="00851E6F">
      <w:pPr>
        <w:spacing w:before="120"/>
        <w:ind w:firstLine="567"/>
        <w:jc w:val="both"/>
      </w:pPr>
      <w:r w:rsidRPr="00AE2034">
        <w:t xml:space="preserve">Однако такую точку зрения суды, как правило, не поддерживают. Дело в том, что Налоговый кодекс не содержит требования восстанавливать входной НДС по основным средствам, списанным с баланса до их полной амортизации. Причем это касается не только списания основных средств в результате взноса их в уставный капитал, но и других ситуаций, когда не полностью самортизированные объекты основных средств начинают использоваться в деятельности, не облагаемой НДС. </w:t>
      </w:r>
      <w:r>
        <w:t xml:space="preserve"> </w:t>
      </w:r>
    </w:p>
    <w:p w:rsidR="00851E6F" w:rsidRPr="00A55905" w:rsidRDefault="00851E6F" w:rsidP="00851E6F">
      <w:pPr>
        <w:spacing w:before="120"/>
        <w:jc w:val="center"/>
        <w:rPr>
          <w:b/>
          <w:bCs/>
          <w:sz w:val="28"/>
          <w:szCs w:val="28"/>
        </w:rPr>
      </w:pPr>
      <w:r w:rsidRPr="00A55905">
        <w:rPr>
          <w:b/>
          <w:bCs/>
          <w:sz w:val="28"/>
          <w:szCs w:val="28"/>
        </w:rPr>
        <w:t xml:space="preserve">Налоговый учет </w:t>
      </w:r>
    </w:p>
    <w:p w:rsidR="00851E6F" w:rsidRPr="00AE2034" w:rsidRDefault="00851E6F" w:rsidP="00851E6F">
      <w:pPr>
        <w:spacing w:before="120"/>
        <w:ind w:firstLine="567"/>
        <w:jc w:val="both"/>
      </w:pPr>
      <w:r w:rsidRPr="00AE2034">
        <w:t xml:space="preserve">Если учредитель осуществляет неденежный взнос в уставный капитал другой организации, то в целях налогообложения данная операция в учете учредителя не признается реализацией. </w:t>
      </w:r>
    </w:p>
    <w:p w:rsidR="00851E6F" w:rsidRPr="00AE2034" w:rsidRDefault="00851E6F" w:rsidP="00851E6F">
      <w:pPr>
        <w:spacing w:before="120"/>
        <w:ind w:firstLine="567"/>
        <w:jc w:val="both"/>
      </w:pPr>
      <w:r w:rsidRPr="00AE2034">
        <w:t xml:space="preserve">Согласно пункту 3 статьи 270 НК РФ расходы участника (учредителя) в виде вкладов в уставный (складочный) капитал не уменьшают налоговую базу при исчислении налога на прибыль. </w:t>
      </w:r>
    </w:p>
    <w:p w:rsidR="00851E6F" w:rsidRPr="00AE2034" w:rsidRDefault="00851E6F" w:rsidP="00851E6F">
      <w:pPr>
        <w:spacing w:before="120"/>
        <w:ind w:firstLine="567"/>
        <w:jc w:val="both"/>
      </w:pPr>
      <w:r w:rsidRPr="00AE2034">
        <w:t xml:space="preserve">В большинстве случаев взносы в уставный капитал имущества, в частности, основных средств, связаны с дополнительными расходами. Такими расходами могут быть расходы по демонтажу передаваемого оборудования, транспортные расходы и иные расходы, связанные с вкладом имущества в уставный капитал. Если организация – учредитель несет такие расходы, то в соответствии с подпунктом 2 пункта 1 статьи 277 НК РФ они учитываются при расчете налога на прибыль текущего периода. </w:t>
      </w:r>
    </w:p>
    <w:p w:rsidR="00851E6F" w:rsidRPr="00AE2034" w:rsidRDefault="00851E6F" w:rsidP="00851E6F">
      <w:pPr>
        <w:spacing w:before="120"/>
        <w:ind w:firstLine="567"/>
        <w:jc w:val="both"/>
      </w:pPr>
      <w:r w:rsidRPr="00AE2034">
        <w:t xml:space="preserve">Этим же подпунктом установлено, что не признается прибылью (убытком) налогоплательщика - акционера (участника, пайщика) разница между стоимостью вносимого в качестве оплаты имущества, имущественных прав и номинальной стоимостью приобретаемых акций, долей (паев), то есть возникающая разница (прибыль либо убыток) не учитывается при налогообложении прибыли. </w:t>
      </w:r>
    </w:p>
    <w:p w:rsidR="00851E6F" w:rsidRDefault="00851E6F" w:rsidP="00851E6F">
      <w:pPr>
        <w:spacing w:before="120"/>
        <w:ind w:firstLine="567"/>
        <w:jc w:val="both"/>
      </w:pPr>
      <w:r w:rsidRPr="00AE2034">
        <w:t xml:space="preserve">Стоимость приобретаемых акций (долей, паев) для целей налогообложения признается равной стоимости (остаточной стоимости) вносимого имущества (имущественных прав), определяемой по данным налогового учета на дату перехода права собственности на указанное имущество (имущественные права), с учетом дополнительных расходов, которые для целей налогообложения признаются у передающей стороны при таком внесении. </w:t>
      </w:r>
      <w:r>
        <w:t xml:space="preserve"> </w:t>
      </w:r>
    </w:p>
    <w:p w:rsidR="00851E6F" w:rsidRPr="00AE2034" w:rsidRDefault="00851E6F" w:rsidP="00851E6F">
      <w:pPr>
        <w:spacing w:before="120"/>
        <w:ind w:firstLine="567"/>
        <w:jc w:val="both"/>
      </w:pPr>
      <w:r w:rsidRPr="00AE2034">
        <w:t xml:space="preserve">Пример. </w:t>
      </w:r>
    </w:p>
    <w:p w:rsidR="00851E6F" w:rsidRPr="00AE2034" w:rsidRDefault="00851E6F" w:rsidP="00851E6F">
      <w:pPr>
        <w:spacing w:before="120"/>
        <w:ind w:firstLine="567"/>
        <w:jc w:val="both"/>
      </w:pPr>
      <w:r w:rsidRPr="00AE2034">
        <w:t xml:space="preserve">Организация в мае 2004 года передала другой организации основное средство в виде вклада в уставный капитал. Первоначальная стоимость основного средства составляет 84 000 рублей, сумма амортизации, начисленной к моменту передачи – 30 000 рублей, расходы по демонтажу передаваемого основного средства – 6 000 рублей. </w:t>
      </w:r>
    </w:p>
    <w:p w:rsidR="00851E6F" w:rsidRPr="00AE2034" w:rsidRDefault="00851E6F" w:rsidP="00851E6F">
      <w:pPr>
        <w:spacing w:before="120"/>
        <w:ind w:firstLine="567"/>
        <w:jc w:val="both"/>
      </w:pPr>
      <w:r w:rsidRPr="00AE2034">
        <w:t xml:space="preserve">В соответствии с учредительными документами размер вклада в уставный капитал составляет 95 000 рублей. </w:t>
      </w:r>
    </w:p>
    <w:p w:rsidR="00851E6F" w:rsidRPr="00AE2034" w:rsidRDefault="00851E6F" w:rsidP="00851E6F">
      <w:pPr>
        <w:spacing w:before="120"/>
        <w:ind w:firstLine="567"/>
        <w:jc w:val="both"/>
      </w:pPr>
      <w:r w:rsidRPr="00AE2034">
        <w:t xml:space="preserve">Для отражения операций в бухгалтерском учете воспользуемся следующими наименованиями субсчетов: </w:t>
      </w:r>
    </w:p>
    <w:p w:rsidR="00851E6F" w:rsidRPr="00AE2034" w:rsidRDefault="00851E6F" w:rsidP="00851E6F">
      <w:pPr>
        <w:spacing w:before="120"/>
        <w:ind w:firstLine="567"/>
        <w:jc w:val="both"/>
      </w:pPr>
      <w:r w:rsidRPr="00AE2034">
        <w:t xml:space="preserve">01-1 «Основные средства в организации»; </w:t>
      </w:r>
    </w:p>
    <w:p w:rsidR="00851E6F" w:rsidRDefault="00851E6F" w:rsidP="00851E6F">
      <w:pPr>
        <w:spacing w:before="120"/>
        <w:ind w:firstLine="567"/>
        <w:jc w:val="both"/>
      </w:pPr>
      <w:r w:rsidRPr="00AE2034">
        <w:t xml:space="preserve">01-2 «Выбытие основных средств». </w:t>
      </w:r>
      <w:r>
        <w:t xml:space="preserve"> </w:t>
      </w:r>
    </w:p>
    <w:tbl>
      <w:tblPr>
        <w:tblW w:w="0" w:type="auto"/>
        <w:tblCellSpacing w:w="15" w:type="dxa"/>
        <w:tblInd w:w="-8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45"/>
        <w:gridCol w:w="1290"/>
        <w:gridCol w:w="1110"/>
        <w:gridCol w:w="5625"/>
      </w:tblGrid>
      <w:tr w:rsidR="00851E6F" w:rsidRPr="00AE2034" w:rsidTr="00CA5B9B">
        <w:trPr>
          <w:tblCellSpacing w:w="15" w:type="dxa"/>
        </w:trPr>
        <w:tc>
          <w:tcPr>
            <w:tcW w:w="2190" w:type="dxa"/>
            <w:gridSpan w:val="2"/>
            <w:tcBorders>
              <w:top w:val="outset" w:sz="6" w:space="0" w:color="auto"/>
              <w:bottom w:val="outset" w:sz="6" w:space="0" w:color="auto"/>
              <w:right w:val="outset" w:sz="6" w:space="0" w:color="auto"/>
            </w:tcBorders>
            <w:vAlign w:val="center"/>
          </w:tcPr>
          <w:p w:rsidR="00851E6F" w:rsidRPr="00AE2034" w:rsidRDefault="00851E6F" w:rsidP="00CA5B9B">
            <w:pPr>
              <w:jc w:val="both"/>
            </w:pPr>
            <w:r w:rsidRPr="00AE2034">
              <w:t xml:space="preserve">Корреспонденция счетов </w:t>
            </w:r>
          </w:p>
        </w:tc>
        <w:tc>
          <w:tcPr>
            <w:tcW w:w="1080" w:type="dxa"/>
            <w:tcBorders>
              <w:top w:val="outset" w:sz="6" w:space="0" w:color="auto"/>
              <w:left w:val="outset" w:sz="6" w:space="0" w:color="auto"/>
              <w:bottom w:val="outset" w:sz="6" w:space="0" w:color="auto"/>
              <w:right w:val="outset" w:sz="6" w:space="0" w:color="auto"/>
            </w:tcBorders>
            <w:vAlign w:val="center"/>
          </w:tcPr>
          <w:p w:rsidR="00851E6F" w:rsidRPr="00AE2034" w:rsidRDefault="00851E6F" w:rsidP="00CA5B9B">
            <w:pPr>
              <w:jc w:val="both"/>
            </w:pPr>
            <w:r w:rsidRPr="00AE2034">
              <w:t xml:space="preserve">Сумма, </w:t>
            </w:r>
          </w:p>
          <w:p w:rsidR="00851E6F" w:rsidRPr="00AE2034" w:rsidRDefault="00851E6F" w:rsidP="00CA5B9B">
            <w:pPr>
              <w:jc w:val="both"/>
            </w:pPr>
            <w:r w:rsidRPr="00AE2034">
              <w:t xml:space="preserve">рублей </w:t>
            </w:r>
          </w:p>
        </w:tc>
        <w:tc>
          <w:tcPr>
            <w:tcW w:w="5580" w:type="dxa"/>
            <w:tcBorders>
              <w:top w:val="outset" w:sz="6" w:space="0" w:color="auto"/>
              <w:left w:val="outset" w:sz="6" w:space="0" w:color="auto"/>
              <w:bottom w:val="outset" w:sz="6" w:space="0" w:color="auto"/>
            </w:tcBorders>
            <w:vAlign w:val="center"/>
          </w:tcPr>
          <w:p w:rsidR="00851E6F" w:rsidRPr="00AE2034" w:rsidRDefault="00851E6F" w:rsidP="00CA5B9B">
            <w:pPr>
              <w:jc w:val="both"/>
            </w:pPr>
            <w:r w:rsidRPr="00AE2034">
              <w:t xml:space="preserve">Содержание операций </w:t>
            </w:r>
          </w:p>
        </w:tc>
      </w:tr>
      <w:tr w:rsidR="00851E6F" w:rsidRPr="00AE2034" w:rsidTr="00CA5B9B">
        <w:trPr>
          <w:tblCellSpacing w:w="15" w:type="dxa"/>
        </w:trPr>
        <w:tc>
          <w:tcPr>
            <w:tcW w:w="900" w:type="dxa"/>
            <w:tcBorders>
              <w:top w:val="outset" w:sz="6" w:space="0" w:color="auto"/>
              <w:bottom w:val="outset" w:sz="6" w:space="0" w:color="auto"/>
              <w:right w:val="outset" w:sz="6" w:space="0" w:color="auto"/>
            </w:tcBorders>
            <w:vAlign w:val="center"/>
          </w:tcPr>
          <w:p w:rsidR="00851E6F" w:rsidRPr="00AE2034" w:rsidRDefault="00851E6F" w:rsidP="00CA5B9B">
            <w:pPr>
              <w:jc w:val="both"/>
            </w:pPr>
            <w:r w:rsidRPr="00AE2034">
              <w:t xml:space="preserve">Дебет </w:t>
            </w:r>
          </w:p>
        </w:tc>
        <w:tc>
          <w:tcPr>
            <w:tcW w:w="1260" w:type="dxa"/>
            <w:tcBorders>
              <w:top w:val="outset" w:sz="6" w:space="0" w:color="auto"/>
              <w:left w:val="outset" w:sz="6" w:space="0" w:color="auto"/>
              <w:bottom w:val="outset" w:sz="6" w:space="0" w:color="auto"/>
              <w:right w:val="outset" w:sz="6" w:space="0" w:color="auto"/>
            </w:tcBorders>
            <w:vAlign w:val="center"/>
          </w:tcPr>
          <w:p w:rsidR="00851E6F" w:rsidRPr="00AE2034" w:rsidRDefault="00851E6F" w:rsidP="00CA5B9B">
            <w:pPr>
              <w:jc w:val="both"/>
            </w:pPr>
            <w:r w:rsidRPr="00AE2034">
              <w:t xml:space="preserve">Кредит </w:t>
            </w:r>
          </w:p>
        </w:tc>
        <w:tc>
          <w:tcPr>
            <w:tcW w:w="0" w:type="auto"/>
            <w:vAlign w:val="center"/>
          </w:tcPr>
          <w:p w:rsidR="00851E6F" w:rsidRPr="00AE2034" w:rsidRDefault="00851E6F" w:rsidP="00CA5B9B">
            <w:pPr>
              <w:jc w:val="both"/>
            </w:pPr>
          </w:p>
        </w:tc>
        <w:tc>
          <w:tcPr>
            <w:tcW w:w="0" w:type="auto"/>
            <w:vAlign w:val="center"/>
          </w:tcPr>
          <w:p w:rsidR="00851E6F" w:rsidRPr="00AE2034" w:rsidRDefault="00851E6F" w:rsidP="00CA5B9B">
            <w:pPr>
              <w:jc w:val="both"/>
            </w:pPr>
          </w:p>
        </w:tc>
      </w:tr>
      <w:tr w:rsidR="00851E6F" w:rsidRPr="00AE2034" w:rsidTr="00CA5B9B">
        <w:trPr>
          <w:tblCellSpacing w:w="15" w:type="dxa"/>
        </w:trPr>
        <w:tc>
          <w:tcPr>
            <w:tcW w:w="900" w:type="dxa"/>
            <w:tcBorders>
              <w:top w:val="outset" w:sz="6" w:space="0" w:color="auto"/>
              <w:bottom w:val="outset" w:sz="6" w:space="0" w:color="auto"/>
              <w:right w:val="outset" w:sz="6" w:space="0" w:color="auto"/>
            </w:tcBorders>
            <w:vAlign w:val="center"/>
          </w:tcPr>
          <w:p w:rsidR="00851E6F" w:rsidRPr="00AE2034" w:rsidRDefault="00851E6F" w:rsidP="00CA5B9B">
            <w:pPr>
              <w:jc w:val="both"/>
            </w:pPr>
            <w:r w:rsidRPr="00AE2034">
              <w:t xml:space="preserve">01-2 </w:t>
            </w:r>
          </w:p>
        </w:tc>
        <w:tc>
          <w:tcPr>
            <w:tcW w:w="1260" w:type="dxa"/>
            <w:tcBorders>
              <w:top w:val="outset" w:sz="6" w:space="0" w:color="auto"/>
              <w:left w:val="outset" w:sz="6" w:space="0" w:color="auto"/>
              <w:bottom w:val="outset" w:sz="6" w:space="0" w:color="auto"/>
              <w:right w:val="outset" w:sz="6" w:space="0" w:color="auto"/>
            </w:tcBorders>
            <w:vAlign w:val="center"/>
          </w:tcPr>
          <w:p w:rsidR="00851E6F" w:rsidRPr="00AE2034" w:rsidRDefault="00851E6F" w:rsidP="00CA5B9B">
            <w:pPr>
              <w:jc w:val="both"/>
            </w:pPr>
            <w:r w:rsidRPr="00AE2034">
              <w:t xml:space="preserve">01-1 </w:t>
            </w:r>
          </w:p>
        </w:tc>
        <w:tc>
          <w:tcPr>
            <w:tcW w:w="1080" w:type="dxa"/>
            <w:tcBorders>
              <w:top w:val="outset" w:sz="6" w:space="0" w:color="auto"/>
              <w:left w:val="outset" w:sz="6" w:space="0" w:color="auto"/>
              <w:bottom w:val="outset" w:sz="6" w:space="0" w:color="auto"/>
              <w:right w:val="outset" w:sz="6" w:space="0" w:color="auto"/>
            </w:tcBorders>
            <w:vAlign w:val="center"/>
          </w:tcPr>
          <w:p w:rsidR="00851E6F" w:rsidRPr="00AE2034" w:rsidRDefault="00851E6F" w:rsidP="00CA5B9B">
            <w:pPr>
              <w:jc w:val="both"/>
            </w:pPr>
            <w:r w:rsidRPr="00AE2034">
              <w:t xml:space="preserve">84 000 </w:t>
            </w:r>
          </w:p>
        </w:tc>
        <w:tc>
          <w:tcPr>
            <w:tcW w:w="5580" w:type="dxa"/>
            <w:tcBorders>
              <w:top w:val="outset" w:sz="6" w:space="0" w:color="auto"/>
              <w:left w:val="outset" w:sz="6" w:space="0" w:color="auto"/>
              <w:bottom w:val="outset" w:sz="6" w:space="0" w:color="auto"/>
            </w:tcBorders>
          </w:tcPr>
          <w:p w:rsidR="00851E6F" w:rsidRPr="00AE2034" w:rsidRDefault="00851E6F" w:rsidP="00CA5B9B">
            <w:pPr>
              <w:jc w:val="both"/>
            </w:pPr>
            <w:r w:rsidRPr="00AE2034">
              <w:t xml:space="preserve">Отражена первоначальная стоимость основного средства, переданного в уставный капитал другой организации </w:t>
            </w:r>
          </w:p>
        </w:tc>
      </w:tr>
      <w:tr w:rsidR="00851E6F" w:rsidRPr="00AE2034" w:rsidTr="00CA5B9B">
        <w:trPr>
          <w:tblCellSpacing w:w="15" w:type="dxa"/>
        </w:trPr>
        <w:tc>
          <w:tcPr>
            <w:tcW w:w="900" w:type="dxa"/>
            <w:tcBorders>
              <w:top w:val="outset" w:sz="6" w:space="0" w:color="auto"/>
              <w:bottom w:val="outset" w:sz="6" w:space="0" w:color="auto"/>
              <w:right w:val="outset" w:sz="6" w:space="0" w:color="auto"/>
            </w:tcBorders>
            <w:vAlign w:val="center"/>
          </w:tcPr>
          <w:p w:rsidR="00851E6F" w:rsidRPr="00AE2034" w:rsidRDefault="00851E6F" w:rsidP="00CA5B9B">
            <w:pPr>
              <w:jc w:val="both"/>
            </w:pPr>
            <w:r w:rsidRPr="00AE2034">
              <w:t xml:space="preserve">02 </w:t>
            </w:r>
          </w:p>
        </w:tc>
        <w:tc>
          <w:tcPr>
            <w:tcW w:w="1260" w:type="dxa"/>
            <w:tcBorders>
              <w:top w:val="outset" w:sz="6" w:space="0" w:color="auto"/>
              <w:left w:val="outset" w:sz="6" w:space="0" w:color="auto"/>
              <w:bottom w:val="outset" w:sz="6" w:space="0" w:color="auto"/>
              <w:right w:val="outset" w:sz="6" w:space="0" w:color="auto"/>
            </w:tcBorders>
            <w:vAlign w:val="center"/>
          </w:tcPr>
          <w:p w:rsidR="00851E6F" w:rsidRPr="00AE2034" w:rsidRDefault="00851E6F" w:rsidP="00CA5B9B">
            <w:pPr>
              <w:jc w:val="both"/>
            </w:pPr>
            <w:r w:rsidRPr="00AE2034">
              <w:t xml:space="preserve">01-2 </w:t>
            </w:r>
          </w:p>
        </w:tc>
        <w:tc>
          <w:tcPr>
            <w:tcW w:w="1080" w:type="dxa"/>
            <w:tcBorders>
              <w:top w:val="outset" w:sz="6" w:space="0" w:color="auto"/>
              <w:left w:val="outset" w:sz="6" w:space="0" w:color="auto"/>
              <w:bottom w:val="outset" w:sz="6" w:space="0" w:color="auto"/>
              <w:right w:val="outset" w:sz="6" w:space="0" w:color="auto"/>
            </w:tcBorders>
            <w:vAlign w:val="center"/>
          </w:tcPr>
          <w:p w:rsidR="00851E6F" w:rsidRPr="00AE2034" w:rsidRDefault="00851E6F" w:rsidP="00CA5B9B">
            <w:pPr>
              <w:jc w:val="both"/>
            </w:pPr>
            <w:r w:rsidRPr="00AE2034">
              <w:t xml:space="preserve">30 000 </w:t>
            </w:r>
          </w:p>
        </w:tc>
        <w:tc>
          <w:tcPr>
            <w:tcW w:w="5580" w:type="dxa"/>
            <w:tcBorders>
              <w:top w:val="outset" w:sz="6" w:space="0" w:color="auto"/>
              <w:left w:val="outset" w:sz="6" w:space="0" w:color="auto"/>
              <w:bottom w:val="outset" w:sz="6" w:space="0" w:color="auto"/>
            </w:tcBorders>
          </w:tcPr>
          <w:p w:rsidR="00851E6F" w:rsidRPr="00AE2034" w:rsidRDefault="00851E6F" w:rsidP="00CA5B9B">
            <w:pPr>
              <w:jc w:val="both"/>
            </w:pPr>
            <w:r w:rsidRPr="00AE2034">
              <w:t xml:space="preserve">Отражена сумма начисленной амортизации </w:t>
            </w:r>
          </w:p>
        </w:tc>
      </w:tr>
      <w:tr w:rsidR="00851E6F" w:rsidRPr="00AE2034" w:rsidTr="00CA5B9B">
        <w:trPr>
          <w:tblCellSpacing w:w="15" w:type="dxa"/>
        </w:trPr>
        <w:tc>
          <w:tcPr>
            <w:tcW w:w="900" w:type="dxa"/>
            <w:tcBorders>
              <w:top w:val="outset" w:sz="6" w:space="0" w:color="auto"/>
              <w:bottom w:val="outset" w:sz="6" w:space="0" w:color="auto"/>
              <w:right w:val="outset" w:sz="6" w:space="0" w:color="auto"/>
            </w:tcBorders>
            <w:vAlign w:val="center"/>
          </w:tcPr>
          <w:p w:rsidR="00851E6F" w:rsidRPr="00AE2034" w:rsidRDefault="00851E6F" w:rsidP="00CA5B9B">
            <w:pPr>
              <w:jc w:val="both"/>
            </w:pPr>
            <w:r w:rsidRPr="00AE2034">
              <w:t xml:space="preserve">91-2 </w:t>
            </w:r>
          </w:p>
        </w:tc>
        <w:tc>
          <w:tcPr>
            <w:tcW w:w="1260" w:type="dxa"/>
            <w:tcBorders>
              <w:top w:val="outset" w:sz="6" w:space="0" w:color="auto"/>
              <w:left w:val="outset" w:sz="6" w:space="0" w:color="auto"/>
              <w:bottom w:val="outset" w:sz="6" w:space="0" w:color="auto"/>
              <w:right w:val="outset" w:sz="6" w:space="0" w:color="auto"/>
            </w:tcBorders>
            <w:vAlign w:val="center"/>
          </w:tcPr>
          <w:p w:rsidR="00851E6F" w:rsidRPr="00AE2034" w:rsidRDefault="00851E6F" w:rsidP="00CA5B9B">
            <w:pPr>
              <w:jc w:val="both"/>
            </w:pPr>
            <w:r w:rsidRPr="00AE2034">
              <w:t xml:space="preserve">01-2 </w:t>
            </w:r>
          </w:p>
        </w:tc>
        <w:tc>
          <w:tcPr>
            <w:tcW w:w="1080" w:type="dxa"/>
            <w:tcBorders>
              <w:top w:val="outset" w:sz="6" w:space="0" w:color="auto"/>
              <w:left w:val="outset" w:sz="6" w:space="0" w:color="auto"/>
              <w:bottom w:val="outset" w:sz="6" w:space="0" w:color="auto"/>
              <w:right w:val="outset" w:sz="6" w:space="0" w:color="auto"/>
            </w:tcBorders>
            <w:vAlign w:val="center"/>
          </w:tcPr>
          <w:p w:rsidR="00851E6F" w:rsidRPr="00AE2034" w:rsidRDefault="00851E6F" w:rsidP="00CA5B9B">
            <w:pPr>
              <w:jc w:val="both"/>
            </w:pPr>
            <w:r w:rsidRPr="00AE2034">
              <w:t xml:space="preserve">54 000 </w:t>
            </w:r>
          </w:p>
        </w:tc>
        <w:tc>
          <w:tcPr>
            <w:tcW w:w="5580" w:type="dxa"/>
            <w:tcBorders>
              <w:top w:val="outset" w:sz="6" w:space="0" w:color="auto"/>
              <w:left w:val="outset" w:sz="6" w:space="0" w:color="auto"/>
              <w:bottom w:val="outset" w:sz="6" w:space="0" w:color="auto"/>
            </w:tcBorders>
          </w:tcPr>
          <w:p w:rsidR="00851E6F" w:rsidRPr="00AE2034" w:rsidRDefault="00851E6F" w:rsidP="00CA5B9B">
            <w:pPr>
              <w:jc w:val="both"/>
            </w:pPr>
            <w:r w:rsidRPr="00AE2034">
              <w:t xml:space="preserve">Списана остаточная стоимость передаваемого объекта основных средств </w:t>
            </w:r>
          </w:p>
        </w:tc>
      </w:tr>
      <w:tr w:rsidR="00851E6F" w:rsidRPr="00AE2034" w:rsidTr="00CA5B9B">
        <w:trPr>
          <w:tblCellSpacing w:w="15" w:type="dxa"/>
        </w:trPr>
        <w:tc>
          <w:tcPr>
            <w:tcW w:w="900" w:type="dxa"/>
            <w:tcBorders>
              <w:top w:val="outset" w:sz="6" w:space="0" w:color="auto"/>
              <w:bottom w:val="outset" w:sz="6" w:space="0" w:color="auto"/>
              <w:right w:val="outset" w:sz="6" w:space="0" w:color="auto"/>
            </w:tcBorders>
            <w:vAlign w:val="center"/>
          </w:tcPr>
          <w:p w:rsidR="00851E6F" w:rsidRPr="00AE2034" w:rsidRDefault="00851E6F" w:rsidP="00CA5B9B">
            <w:pPr>
              <w:jc w:val="both"/>
            </w:pPr>
            <w:r w:rsidRPr="00AE2034">
              <w:t xml:space="preserve">23 </w:t>
            </w:r>
          </w:p>
        </w:tc>
        <w:tc>
          <w:tcPr>
            <w:tcW w:w="1260" w:type="dxa"/>
            <w:tcBorders>
              <w:top w:val="outset" w:sz="6" w:space="0" w:color="auto"/>
              <w:left w:val="outset" w:sz="6" w:space="0" w:color="auto"/>
              <w:bottom w:val="outset" w:sz="6" w:space="0" w:color="auto"/>
              <w:right w:val="outset" w:sz="6" w:space="0" w:color="auto"/>
            </w:tcBorders>
            <w:vAlign w:val="center"/>
          </w:tcPr>
          <w:p w:rsidR="00851E6F" w:rsidRPr="00AE2034" w:rsidRDefault="00851E6F" w:rsidP="00CA5B9B">
            <w:pPr>
              <w:jc w:val="both"/>
            </w:pPr>
            <w:r w:rsidRPr="00AE2034">
              <w:t xml:space="preserve">76 </w:t>
            </w:r>
          </w:p>
        </w:tc>
        <w:tc>
          <w:tcPr>
            <w:tcW w:w="1080" w:type="dxa"/>
            <w:tcBorders>
              <w:top w:val="outset" w:sz="6" w:space="0" w:color="auto"/>
              <w:left w:val="outset" w:sz="6" w:space="0" w:color="auto"/>
              <w:bottom w:val="outset" w:sz="6" w:space="0" w:color="auto"/>
              <w:right w:val="outset" w:sz="6" w:space="0" w:color="auto"/>
            </w:tcBorders>
            <w:vAlign w:val="center"/>
          </w:tcPr>
          <w:p w:rsidR="00851E6F" w:rsidRPr="00AE2034" w:rsidRDefault="00851E6F" w:rsidP="00CA5B9B">
            <w:pPr>
              <w:jc w:val="both"/>
            </w:pPr>
            <w:r w:rsidRPr="00AE2034">
              <w:t xml:space="preserve">6 000 </w:t>
            </w:r>
          </w:p>
        </w:tc>
        <w:tc>
          <w:tcPr>
            <w:tcW w:w="5580" w:type="dxa"/>
            <w:tcBorders>
              <w:top w:val="outset" w:sz="6" w:space="0" w:color="auto"/>
              <w:left w:val="outset" w:sz="6" w:space="0" w:color="auto"/>
              <w:bottom w:val="outset" w:sz="6" w:space="0" w:color="auto"/>
            </w:tcBorders>
          </w:tcPr>
          <w:p w:rsidR="00851E6F" w:rsidRPr="00AE2034" w:rsidRDefault="00851E6F" w:rsidP="00CA5B9B">
            <w:pPr>
              <w:jc w:val="both"/>
            </w:pPr>
            <w:r w:rsidRPr="00AE2034">
              <w:t xml:space="preserve">Отражена сумма дополнительных расходов организации </w:t>
            </w:r>
          </w:p>
        </w:tc>
      </w:tr>
      <w:tr w:rsidR="00851E6F" w:rsidRPr="00AE2034" w:rsidTr="00CA5B9B">
        <w:trPr>
          <w:tblCellSpacing w:w="15" w:type="dxa"/>
        </w:trPr>
        <w:tc>
          <w:tcPr>
            <w:tcW w:w="900" w:type="dxa"/>
            <w:tcBorders>
              <w:top w:val="outset" w:sz="6" w:space="0" w:color="auto"/>
              <w:bottom w:val="outset" w:sz="6" w:space="0" w:color="auto"/>
              <w:right w:val="outset" w:sz="6" w:space="0" w:color="auto"/>
            </w:tcBorders>
            <w:vAlign w:val="center"/>
          </w:tcPr>
          <w:p w:rsidR="00851E6F" w:rsidRPr="00AE2034" w:rsidRDefault="00851E6F" w:rsidP="00CA5B9B">
            <w:pPr>
              <w:jc w:val="both"/>
            </w:pPr>
            <w:r w:rsidRPr="00AE2034">
              <w:t xml:space="preserve">91-2 </w:t>
            </w:r>
          </w:p>
        </w:tc>
        <w:tc>
          <w:tcPr>
            <w:tcW w:w="1260" w:type="dxa"/>
            <w:tcBorders>
              <w:top w:val="outset" w:sz="6" w:space="0" w:color="auto"/>
              <w:left w:val="outset" w:sz="6" w:space="0" w:color="auto"/>
              <w:bottom w:val="outset" w:sz="6" w:space="0" w:color="auto"/>
              <w:right w:val="outset" w:sz="6" w:space="0" w:color="auto"/>
            </w:tcBorders>
            <w:vAlign w:val="center"/>
          </w:tcPr>
          <w:p w:rsidR="00851E6F" w:rsidRPr="00AE2034" w:rsidRDefault="00851E6F" w:rsidP="00CA5B9B">
            <w:pPr>
              <w:jc w:val="both"/>
            </w:pPr>
            <w:r w:rsidRPr="00AE2034">
              <w:t xml:space="preserve">23 </w:t>
            </w:r>
          </w:p>
        </w:tc>
        <w:tc>
          <w:tcPr>
            <w:tcW w:w="1080" w:type="dxa"/>
            <w:tcBorders>
              <w:top w:val="outset" w:sz="6" w:space="0" w:color="auto"/>
              <w:left w:val="outset" w:sz="6" w:space="0" w:color="auto"/>
              <w:bottom w:val="outset" w:sz="6" w:space="0" w:color="auto"/>
              <w:right w:val="outset" w:sz="6" w:space="0" w:color="auto"/>
            </w:tcBorders>
            <w:vAlign w:val="center"/>
          </w:tcPr>
          <w:p w:rsidR="00851E6F" w:rsidRPr="00AE2034" w:rsidRDefault="00851E6F" w:rsidP="00CA5B9B">
            <w:pPr>
              <w:jc w:val="both"/>
            </w:pPr>
            <w:r w:rsidRPr="00AE2034">
              <w:t xml:space="preserve">6 000 </w:t>
            </w:r>
          </w:p>
        </w:tc>
        <w:tc>
          <w:tcPr>
            <w:tcW w:w="5580" w:type="dxa"/>
            <w:tcBorders>
              <w:top w:val="outset" w:sz="6" w:space="0" w:color="auto"/>
              <w:left w:val="outset" w:sz="6" w:space="0" w:color="auto"/>
              <w:bottom w:val="outset" w:sz="6" w:space="0" w:color="auto"/>
            </w:tcBorders>
          </w:tcPr>
          <w:p w:rsidR="00851E6F" w:rsidRPr="00AE2034" w:rsidRDefault="00851E6F" w:rsidP="00CA5B9B">
            <w:pPr>
              <w:jc w:val="both"/>
            </w:pPr>
            <w:r w:rsidRPr="00AE2034">
              <w:t xml:space="preserve">Списаны дополнительные расходы, связанные с передачей основного средства </w:t>
            </w:r>
          </w:p>
        </w:tc>
      </w:tr>
      <w:tr w:rsidR="00851E6F" w:rsidRPr="00AE2034" w:rsidTr="00CA5B9B">
        <w:trPr>
          <w:tblCellSpacing w:w="15" w:type="dxa"/>
        </w:trPr>
        <w:tc>
          <w:tcPr>
            <w:tcW w:w="900" w:type="dxa"/>
            <w:tcBorders>
              <w:top w:val="outset" w:sz="6" w:space="0" w:color="auto"/>
              <w:bottom w:val="outset" w:sz="6" w:space="0" w:color="auto"/>
              <w:right w:val="outset" w:sz="6" w:space="0" w:color="auto"/>
            </w:tcBorders>
            <w:vAlign w:val="center"/>
          </w:tcPr>
          <w:p w:rsidR="00851E6F" w:rsidRPr="00AE2034" w:rsidRDefault="00851E6F" w:rsidP="00CA5B9B">
            <w:pPr>
              <w:jc w:val="both"/>
            </w:pPr>
            <w:r w:rsidRPr="00AE2034">
              <w:t xml:space="preserve">58 </w:t>
            </w:r>
          </w:p>
        </w:tc>
        <w:tc>
          <w:tcPr>
            <w:tcW w:w="1260" w:type="dxa"/>
            <w:tcBorders>
              <w:top w:val="outset" w:sz="6" w:space="0" w:color="auto"/>
              <w:left w:val="outset" w:sz="6" w:space="0" w:color="auto"/>
              <w:bottom w:val="outset" w:sz="6" w:space="0" w:color="auto"/>
              <w:right w:val="outset" w:sz="6" w:space="0" w:color="auto"/>
            </w:tcBorders>
            <w:vAlign w:val="center"/>
          </w:tcPr>
          <w:p w:rsidR="00851E6F" w:rsidRPr="00AE2034" w:rsidRDefault="00851E6F" w:rsidP="00CA5B9B">
            <w:pPr>
              <w:jc w:val="both"/>
            </w:pPr>
            <w:r w:rsidRPr="00AE2034">
              <w:t xml:space="preserve">91-1 </w:t>
            </w:r>
          </w:p>
        </w:tc>
        <w:tc>
          <w:tcPr>
            <w:tcW w:w="1080" w:type="dxa"/>
            <w:tcBorders>
              <w:top w:val="outset" w:sz="6" w:space="0" w:color="auto"/>
              <w:left w:val="outset" w:sz="6" w:space="0" w:color="auto"/>
              <w:bottom w:val="outset" w:sz="6" w:space="0" w:color="auto"/>
              <w:right w:val="outset" w:sz="6" w:space="0" w:color="auto"/>
            </w:tcBorders>
            <w:vAlign w:val="center"/>
          </w:tcPr>
          <w:p w:rsidR="00851E6F" w:rsidRPr="00AE2034" w:rsidRDefault="00851E6F" w:rsidP="00CA5B9B">
            <w:pPr>
              <w:jc w:val="both"/>
            </w:pPr>
            <w:r w:rsidRPr="00AE2034">
              <w:t xml:space="preserve">95000 </w:t>
            </w:r>
          </w:p>
        </w:tc>
        <w:tc>
          <w:tcPr>
            <w:tcW w:w="5580" w:type="dxa"/>
            <w:tcBorders>
              <w:top w:val="outset" w:sz="6" w:space="0" w:color="auto"/>
              <w:left w:val="outset" w:sz="6" w:space="0" w:color="auto"/>
              <w:bottom w:val="outset" w:sz="6" w:space="0" w:color="auto"/>
            </w:tcBorders>
          </w:tcPr>
          <w:p w:rsidR="00851E6F" w:rsidRPr="00AE2034" w:rsidRDefault="00851E6F" w:rsidP="00CA5B9B">
            <w:pPr>
              <w:jc w:val="both"/>
            </w:pPr>
            <w:r w:rsidRPr="00AE2034">
              <w:t xml:space="preserve">Отражена оценка основного средства в соответствии с учредительными документами </w:t>
            </w:r>
          </w:p>
        </w:tc>
      </w:tr>
      <w:tr w:rsidR="00851E6F" w:rsidRPr="00AE2034" w:rsidTr="00CA5B9B">
        <w:trPr>
          <w:tblCellSpacing w:w="15" w:type="dxa"/>
        </w:trPr>
        <w:tc>
          <w:tcPr>
            <w:tcW w:w="900" w:type="dxa"/>
            <w:tcBorders>
              <w:top w:val="outset" w:sz="6" w:space="0" w:color="auto"/>
              <w:bottom w:val="outset" w:sz="6" w:space="0" w:color="auto"/>
              <w:right w:val="outset" w:sz="6" w:space="0" w:color="auto"/>
            </w:tcBorders>
            <w:vAlign w:val="center"/>
          </w:tcPr>
          <w:p w:rsidR="00851E6F" w:rsidRPr="00AE2034" w:rsidRDefault="00851E6F" w:rsidP="00CA5B9B">
            <w:pPr>
              <w:jc w:val="both"/>
            </w:pPr>
            <w:r w:rsidRPr="00AE2034">
              <w:t xml:space="preserve">91-9 </w:t>
            </w:r>
          </w:p>
        </w:tc>
        <w:tc>
          <w:tcPr>
            <w:tcW w:w="1260" w:type="dxa"/>
            <w:tcBorders>
              <w:top w:val="outset" w:sz="6" w:space="0" w:color="auto"/>
              <w:left w:val="outset" w:sz="6" w:space="0" w:color="auto"/>
              <w:bottom w:val="outset" w:sz="6" w:space="0" w:color="auto"/>
              <w:right w:val="outset" w:sz="6" w:space="0" w:color="auto"/>
            </w:tcBorders>
            <w:vAlign w:val="center"/>
          </w:tcPr>
          <w:p w:rsidR="00851E6F" w:rsidRPr="00AE2034" w:rsidRDefault="00851E6F" w:rsidP="00CA5B9B">
            <w:pPr>
              <w:jc w:val="both"/>
            </w:pPr>
            <w:r w:rsidRPr="00AE2034">
              <w:t xml:space="preserve">99 </w:t>
            </w:r>
          </w:p>
        </w:tc>
        <w:tc>
          <w:tcPr>
            <w:tcW w:w="1080" w:type="dxa"/>
            <w:tcBorders>
              <w:top w:val="outset" w:sz="6" w:space="0" w:color="auto"/>
              <w:left w:val="outset" w:sz="6" w:space="0" w:color="auto"/>
              <w:bottom w:val="outset" w:sz="6" w:space="0" w:color="auto"/>
              <w:right w:val="outset" w:sz="6" w:space="0" w:color="auto"/>
            </w:tcBorders>
            <w:vAlign w:val="center"/>
          </w:tcPr>
          <w:p w:rsidR="00851E6F" w:rsidRPr="00AE2034" w:rsidRDefault="00851E6F" w:rsidP="00CA5B9B">
            <w:pPr>
              <w:jc w:val="both"/>
            </w:pPr>
            <w:r w:rsidRPr="00AE2034">
              <w:t xml:space="preserve">35 000 </w:t>
            </w:r>
          </w:p>
        </w:tc>
        <w:tc>
          <w:tcPr>
            <w:tcW w:w="5580" w:type="dxa"/>
            <w:tcBorders>
              <w:top w:val="outset" w:sz="6" w:space="0" w:color="auto"/>
              <w:left w:val="outset" w:sz="6" w:space="0" w:color="auto"/>
              <w:bottom w:val="outset" w:sz="6" w:space="0" w:color="auto"/>
            </w:tcBorders>
          </w:tcPr>
          <w:p w:rsidR="00851E6F" w:rsidRPr="00AE2034" w:rsidRDefault="00851E6F" w:rsidP="00CA5B9B">
            <w:pPr>
              <w:jc w:val="both"/>
            </w:pPr>
            <w:r w:rsidRPr="00AE2034">
              <w:t xml:space="preserve">Отражена сумма прибыли из-за разницы между остаточной стоимостью основного средства и номинальной стоимостью приобретаемых акций (95000 рублей - 54000 рублей - 6000 рублей) </w:t>
            </w:r>
          </w:p>
        </w:tc>
      </w:tr>
    </w:tbl>
    <w:p w:rsidR="00851E6F" w:rsidRPr="00AE2034" w:rsidRDefault="00851E6F" w:rsidP="00851E6F">
      <w:pPr>
        <w:spacing w:before="120"/>
        <w:ind w:firstLine="567"/>
        <w:jc w:val="both"/>
      </w:pPr>
      <w:r w:rsidRPr="00AE2034">
        <w:t xml:space="preserve">В налоговом учете расходы учредителя в виде взноса в уставный капитал, которые согласно пункту 3 статьи 270 НК РФ не будут уменьшать налоговую базу при исчислении налога на прибыль, составят 54 000 рублей, будут равны остаточной стоимости передаваемого основного средства. В соответствии с ПБУ 18/02 эти расходы признаются постоянной разницей, порядок учета постоянных разниц подробно рассмотрен в разделе 6.2.3. </w:t>
      </w:r>
    </w:p>
    <w:p w:rsidR="00851E6F" w:rsidRPr="00AE2034" w:rsidRDefault="00851E6F" w:rsidP="00851E6F">
      <w:pPr>
        <w:spacing w:before="120"/>
        <w:ind w:firstLine="567"/>
        <w:jc w:val="both"/>
      </w:pPr>
      <w:r w:rsidRPr="00AE2034">
        <w:t xml:space="preserve">Дополнительные расходы в размере 6 000 рублей, согласно пункту 2 статьи 277 НК РФ, будут учтены при налогообложении прибыли.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E6F"/>
    <w:rsid w:val="00616072"/>
    <w:rsid w:val="00851E6F"/>
    <w:rsid w:val="008B35EE"/>
    <w:rsid w:val="009F4DB9"/>
    <w:rsid w:val="00A55905"/>
    <w:rsid w:val="00AE2034"/>
    <w:rsid w:val="00B42C45"/>
    <w:rsid w:val="00B47B6A"/>
    <w:rsid w:val="00C27787"/>
    <w:rsid w:val="00CA5B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5C0057-5C79-4D42-B2B2-D3C01231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E6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51E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4482</Words>
  <Characters>2556</Characters>
  <Application>Microsoft Office Word</Application>
  <DocSecurity>0</DocSecurity>
  <Lines>21</Lines>
  <Paragraphs>14</Paragraphs>
  <ScaleCrop>false</ScaleCrop>
  <Company>Home</Company>
  <LinksUpToDate>false</LinksUpToDate>
  <CharactersWithSpaces>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Передача основных средств в уставный капитал другой организации</dc:title>
  <dc:subject/>
  <dc:creator>User</dc:creator>
  <cp:keywords/>
  <dc:description/>
  <cp:lastModifiedBy>admin</cp:lastModifiedBy>
  <cp:revision>2</cp:revision>
  <dcterms:created xsi:type="dcterms:W3CDTF">2014-01-25T13:24:00Z</dcterms:created>
  <dcterms:modified xsi:type="dcterms:W3CDTF">2014-01-25T13:24:00Z</dcterms:modified>
</cp:coreProperties>
</file>