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6D4FC1" w:rsidRDefault="006D4FC1" w:rsidP="004779E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779EC">
        <w:rPr>
          <w:b/>
          <w:sz w:val="28"/>
          <w:szCs w:val="28"/>
        </w:rPr>
        <w:t>Периодизация и история Земли</w:t>
      </w: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934C6F" w:rsidRP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4C6F" w:rsidRPr="004779EC">
        <w:rPr>
          <w:sz w:val="28"/>
          <w:szCs w:val="28"/>
        </w:rPr>
        <w:t>Прошлое... Знать историческое развитие человеческой общества, живой и неживой природы, природных собы</w:t>
      </w:r>
      <w:r w:rsidR="009C510A" w:rsidRPr="004779EC">
        <w:rPr>
          <w:sz w:val="28"/>
          <w:szCs w:val="28"/>
        </w:rPr>
        <w:t xml:space="preserve">тий и явлений интересно и важно не только потому, что </w:t>
      </w:r>
      <w:r w:rsidR="00934C6F" w:rsidRPr="004779EC">
        <w:rPr>
          <w:sz w:val="28"/>
          <w:szCs w:val="28"/>
        </w:rPr>
        <w:t>при этом полнее раскрываются логическая связь и закономерность их возникновения и эволюции, но и потому что они необходимы и для более углубленного изучения настоящего и предсказания будущего. Изучая современную Землю, геологи ежеминутно сталкиваются с а прошлым, с разнообразными и разномасштабными событиями. И здесь мы сталкиваемся с проблемой геологического времени.</w:t>
      </w: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934C6F" w:rsidRPr="004779EC" w:rsidRDefault="009C510A" w:rsidP="004779E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779EC">
        <w:rPr>
          <w:b/>
          <w:sz w:val="28"/>
          <w:szCs w:val="28"/>
        </w:rPr>
        <w:t>Возраст</w:t>
      </w:r>
      <w:r w:rsidR="00934C6F" w:rsidRPr="004779EC">
        <w:rPr>
          <w:b/>
          <w:sz w:val="28"/>
          <w:szCs w:val="28"/>
        </w:rPr>
        <w:t xml:space="preserve"> </w:t>
      </w:r>
      <w:r w:rsidRPr="004779EC">
        <w:rPr>
          <w:b/>
          <w:sz w:val="28"/>
          <w:szCs w:val="28"/>
        </w:rPr>
        <w:t>горных</w:t>
      </w:r>
      <w:r w:rsidR="00934C6F" w:rsidRPr="004779EC">
        <w:rPr>
          <w:b/>
          <w:sz w:val="28"/>
          <w:szCs w:val="28"/>
        </w:rPr>
        <w:t xml:space="preserve"> </w:t>
      </w:r>
      <w:r w:rsidRPr="004779EC">
        <w:rPr>
          <w:b/>
          <w:sz w:val="28"/>
          <w:szCs w:val="28"/>
        </w:rPr>
        <w:t>пород и</w:t>
      </w:r>
      <w:r w:rsidR="00934C6F" w:rsidRPr="004779EC">
        <w:rPr>
          <w:b/>
          <w:sz w:val="28"/>
          <w:szCs w:val="28"/>
        </w:rPr>
        <w:t xml:space="preserve"> </w:t>
      </w:r>
      <w:r w:rsidRPr="004779EC">
        <w:rPr>
          <w:b/>
          <w:sz w:val="28"/>
          <w:szCs w:val="28"/>
        </w:rPr>
        <w:t>геологическое</w:t>
      </w:r>
      <w:r w:rsidR="00934C6F" w:rsidRPr="004779EC">
        <w:rPr>
          <w:b/>
          <w:sz w:val="28"/>
          <w:szCs w:val="28"/>
        </w:rPr>
        <w:t xml:space="preserve"> </w:t>
      </w:r>
      <w:r w:rsidRPr="004779EC">
        <w:rPr>
          <w:b/>
          <w:sz w:val="28"/>
          <w:szCs w:val="28"/>
        </w:rPr>
        <w:t>время</w:t>
      </w:r>
    </w:p>
    <w:p w:rsid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Когда и как происходили те или иные извержения вулканов, возникли и жили организмы, которые находятся в окаменевшем состоянии? Эти вопросы всегда волновали ученых.</w:t>
      </w: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Правильное представление об огромной длительности геологического времени укоренилось в геологическо</w:t>
      </w:r>
      <w:r w:rsidR="009C510A" w:rsidRPr="004779EC">
        <w:rPr>
          <w:sz w:val="28"/>
          <w:szCs w:val="28"/>
        </w:rPr>
        <w:t>й</w:t>
      </w:r>
      <w:r w:rsidRPr="004779EC">
        <w:rPr>
          <w:sz w:val="28"/>
          <w:szCs w:val="28"/>
          <w:lang w:val="uk-UA"/>
        </w:rPr>
        <w:t xml:space="preserve"> </w:t>
      </w:r>
      <w:r w:rsidRPr="004779EC">
        <w:rPr>
          <w:sz w:val="28"/>
          <w:szCs w:val="28"/>
        </w:rPr>
        <w:t>науке далеко не сразу. Давно было замечено, что ниже лежащие слои горных пород древнее вышележащих</w:t>
      </w:r>
      <w:r w:rsidR="009C510A" w:rsidRPr="004779EC">
        <w:rPr>
          <w:sz w:val="28"/>
          <w:szCs w:val="28"/>
        </w:rPr>
        <w:t>.</w:t>
      </w:r>
      <w:r w:rsidRPr="004779EC">
        <w:rPr>
          <w:sz w:val="28"/>
          <w:szCs w:val="28"/>
        </w:rPr>
        <w:t xml:space="preserve"> Этот принцип дает возможность установить лишь относительную датировку событий, но не позволяет количественно оценить геологическое время, даже в том случае, если в осадках встречаются ископаемые органические остатки.</w:t>
      </w: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Длительное время не только господствовал религиозный догмат о божественном акте в происхождении Земли, но и существовало представление, что она очень молода. Безоговорочно принималось, что Земля и вся Все</w:t>
      </w:r>
      <w:r w:rsidR="009C510A" w:rsidRPr="004779EC">
        <w:rPr>
          <w:sz w:val="28"/>
          <w:szCs w:val="28"/>
        </w:rPr>
        <w:t>лен</w:t>
      </w:r>
      <w:r w:rsidRPr="004779EC">
        <w:rPr>
          <w:sz w:val="28"/>
          <w:szCs w:val="28"/>
        </w:rPr>
        <w:t>ная возникли в течение нескольких дней около 6000 лет назад. Однако мыслители антично</w:t>
      </w:r>
      <w:r w:rsidR="009C510A" w:rsidRPr="004779EC">
        <w:rPr>
          <w:sz w:val="28"/>
          <w:szCs w:val="28"/>
        </w:rPr>
        <w:t xml:space="preserve">сти, </w:t>
      </w:r>
      <w:r w:rsidRPr="004779EC">
        <w:rPr>
          <w:sz w:val="28"/>
          <w:szCs w:val="28"/>
        </w:rPr>
        <w:t xml:space="preserve">а затем и ученые эпохи Возрождения высказывали </w:t>
      </w:r>
      <w:r w:rsidR="009C510A" w:rsidRPr="004779EC">
        <w:rPr>
          <w:sz w:val="28"/>
          <w:szCs w:val="28"/>
        </w:rPr>
        <w:t>предположение</w:t>
      </w:r>
      <w:r w:rsidRPr="004779EC">
        <w:rPr>
          <w:sz w:val="28"/>
          <w:szCs w:val="28"/>
        </w:rPr>
        <w:t xml:space="preserve"> о большей длительности истории Земли и многогранности происходивших на ее поверхности и в недрах</w:t>
      </w:r>
      <w:r w:rsidR="009C510A" w:rsidRPr="004779EC">
        <w:rPr>
          <w:sz w:val="28"/>
          <w:szCs w:val="28"/>
        </w:rPr>
        <w:t xml:space="preserve"> </w:t>
      </w:r>
      <w:r w:rsidRPr="004779EC">
        <w:rPr>
          <w:sz w:val="28"/>
          <w:szCs w:val="28"/>
        </w:rPr>
        <w:t>изменений.</w:t>
      </w: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Развитие точных наук — механики и астрономии, химии и физики — дало возможность по-новому подойти к возрасту Земли и слагающих ее горных пород. Однако библейские тексты еще долгое время сдерживали прогрессивные представления. Даже такой знаменитый естествоиспытатель, как И. Ньютон, с именем которого связана целая эпоха в физике и механике, признавал авторитет Священного писания и на основе библейского текста вычислил, что Земля будто бы существует 6030 лет.</w:t>
      </w: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Ж. Бюффон, автор многотомной «Естественной истории» к оценке возраста Земли подошел довольно оригинально. Он был автором космогонической гипотезы о происхождении Земли как обломка Солнца, оторванного ударом гигантской кометы, получившей в свое время широкое распространение. Значит, опытным путем можно было определить время остывания гигантского раскаленного шара. На основании этого Ж. Бюффон оценил продолжительность истории Земли в 75 тыс. лет.</w:t>
      </w: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К вопросу о геологическом времени и возрасте Земли ученые подходили с самых разных позиций — от скорости осадконакопления до продолжительности жизни форм, отдельных сообществ, видов, родов, семейств и отрядов животного и растительного мира.</w:t>
      </w:r>
    </w:p>
    <w:p w:rsidR="009C510A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Прежде чем рассмотреть современные представления о возрасте Земли, необходимо в самой общей форме остановиться на характеристике горных пород, слагающих земную кору.</w:t>
      </w:r>
    </w:p>
    <w:p w:rsidR="002432AC" w:rsidRPr="004779EC" w:rsidRDefault="009C510A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Г</w:t>
      </w:r>
      <w:r w:rsidR="00934C6F" w:rsidRPr="004779EC">
        <w:rPr>
          <w:sz w:val="28"/>
          <w:szCs w:val="28"/>
        </w:rPr>
        <w:t>орные породы подразделяются на три группы: осадочные, магматические и метаморфические. Первые сформировались за счет разрушения и переотложения более древних пород (галечники, пески, песчаники) или</w:t>
      </w:r>
      <w:r w:rsidRPr="004779EC">
        <w:rPr>
          <w:sz w:val="28"/>
          <w:szCs w:val="28"/>
        </w:rPr>
        <w:t xml:space="preserve"> </w:t>
      </w:r>
      <w:r w:rsidR="00934C6F" w:rsidRPr="004779EC">
        <w:rPr>
          <w:sz w:val="28"/>
          <w:szCs w:val="28"/>
        </w:rPr>
        <w:t>в результате деятельности организмо</w:t>
      </w:r>
      <w:r w:rsidR="006D4FC1" w:rsidRPr="004779EC">
        <w:rPr>
          <w:sz w:val="28"/>
          <w:szCs w:val="28"/>
        </w:rPr>
        <w:t>в</w:t>
      </w:r>
      <w:r w:rsidR="00934C6F" w:rsidRPr="004779EC">
        <w:rPr>
          <w:sz w:val="28"/>
          <w:szCs w:val="28"/>
        </w:rPr>
        <w:t xml:space="preserve"> (мел, известняк,</w:t>
      </w:r>
      <w:r w:rsidRPr="004779EC">
        <w:rPr>
          <w:sz w:val="28"/>
          <w:szCs w:val="28"/>
        </w:rPr>
        <w:t xml:space="preserve"> </w:t>
      </w:r>
      <w:r w:rsidR="00934C6F" w:rsidRPr="004779EC">
        <w:rPr>
          <w:sz w:val="28"/>
          <w:szCs w:val="28"/>
        </w:rPr>
        <w:t>каменный и бурый угли) и, наконец, как продукт осаждения солей (гипс, каменная соль). Магматические породы образовались из магмы - силикатного расплава, обогащенного газами и сформированного в недрах Земли.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При застывании магмы на глубине возникают крупнокристаллические глубинные, или интрузивные, горные породы. В зависимости от содержания кремнезема (</w:t>
      </w:r>
      <w:r w:rsidRPr="004779EC">
        <w:rPr>
          <w:sz w:val="28"/>
          <w:szCs w:val="28"/>
          <w:lang w:val="en-US"/>
        </w:rPr>
        <w:t>Si</w:t>
      </w:r>
      <w:r w:rsidRPr="004779EC">
        <w:rPr>
          <w:sz w:val="28"/>
          <w:szCs w:val="28"/>
        </w:rPr>
        <w:t>О</w:t>
      </w:r>
      <w:r w:rsidRPr="004779EC">
        <w:rPr>
          <w:sz w:val="28"/>
          <w:szCs w:val="28"/>
          <w:vertAlign w:val="subscript"/>
        </w:rPr>
        <w:t>2</w:t>
      </w:r>
      <w:r w:rsidRPr="004779EC">
        <w:rPr>
          <w:sz w:val="28"/>
          <w:szCs w:val="28"/>
        </w:rPr>
        <w:t xml:space="preserve">) они разделяются на несколько групп. К кислым изверженным породам, в которых содержание </w:t>
      </w:r>
      <w:r w:rsidRPr="004779EC">
        <w:rPr>
          <w:sz w:val="28"/>
          <w:szCs w:val="28"/>
          <w:lang w:val="en-US"/>
        </w:rPr>
        <w:t>Si</w:t>
      </w:r>
      <w:r w:rsidRPr="004779EC">
        <w:rPr>
          <w:sz w:val="28"/>
          <w:szCs w:val="28"/>
        </w:rPr>
        <w:t>О</w:t>
      </w:r>
      <w:r w:rsidRPr="004779EC">
        <w:rPr>
          <w:sz w:val="28"/>
          <w:szCs w:val="28"/>
          <w:vertAlign w:val="subscript"/>
        </w:rPr>
        <w:t>2</w:t>
      </w:r>
      <w:r w:rsidRPr="004779EC">
        <w:rPr>
          <w:sz w:val="28"/>
          <w:szCs w:val="28"/>
        </w:rPr>
        <w:t xml:space="preserve"> составляет 65—75%, относятся граниты и кварцевые порфиры. Средние изверженные породы содержат кремнезем от 52 до 65% (андезиты и гранодиориты), основные — от 40 до 52% (базальты и габбро) и ультраосновные — менее 40% (дуниты и перидотиты).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При вулканических извержениях магма теряет газы и, превращаясь в лаву, растекается по земной поверхности. При быстром ее застывании формируются мелкокристаллические изверженные породы (порфириты, базальты и т. д.). Обычно магматические породы рассекают толщи осадочных пород, образуя так называемые штоки, дайки, а также крупные, объемом во много десятков кубических километров тела — батолиты. Среди осадочных толщ иногда располагаются в виде слоев вулканические интрузивные тела (силлы), образующиеся путем внедрения магмы вдоль поверхностей напластования этих толщ.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Метаморфические породы — это первично-осадочные или магматические образования, испытавшие перекристаллизацию под действием высоких давлений и температур на значительных глубинах. К ним относятся разнообразные кристаллические сланцы и гнейсы.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По взаимному залеганию горных пород различного состава были сделаны первые попытки возрастного расчленения. В </w:t>
      </w:r>
      <w:r w:rsidRPr="004779EC">
        <w:rPr>
          <w:sz w:val="28"/>
          <w:szCs w:val="28"/>
          <w:lang w:val="en-US"/>
        </w:rPr>
        <w:t>XVIII</w:t>
      </w:r>
      <w:r w:rsidRPr="004779EC">
        <w:rPr>
          <w:sz w:val="28"/>
          <w:szCs w:val="28"/>
        </w:rPr>
        <w:t xml:space="preserve"> в. итальянский исследователь Дж. Ардуино во время изучения геологии на севере Апеннин предложил различать четыре типа гор: примитивные, или минеральные, сложенные породами без органических остатков; вторичные, состоящие из мрамора и слоистых известняков с морскими накоплениями; третичные — низкие горы и холмы, сложенные гравием, глинами, мергелями с обильными остатками морских животных, и четвертичные — земляные и каменные выносы горных потоков. Эта терминология была перенесена на другие районы Европы, и название «четвертичные» сохранилось даже до</w:t>
      </w:r>
      <w:r w:rsidR="004779EC">
        <w:rPr>
          <w:sz w:val="28"/>
          <w:szCs w:val="28"/>
        </w:rPr>
        <w:t xml:space="preserve"> </w:t>
      </w:r>
      <w:r w:rsidRPr="004779EC">
        <w:rPr>
          <w:sz w:val="28"/>
          <w:szCs w:val="28"/>
        </w:rPr>
        <w:t>настоящего времени.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По наслоениям осадочных горных пород, особенно тогда, когда пласты залегают горизонтально, можно отчетливо установить геологическую хронологию, геохронологию, т. е. временную последовательность. В каждом природном обнажении, естественно, если мы точно знаем, что слои в нем находятся в ненарушенном положении, более глубокие (нижние) пласты всегда древнее перекрывающих.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Изучение возрастной последовательности осадочных пород по условиям взаимного залегания пластов позволяет построить стратиграфическую колонку (греч. «страгос» означает слой, пласт).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Установление последовательности напластований в одном обнажении не представляет особой трудности. Каким же образом можно сравнивать между собой довольно далеко отстоящие друг от друга обнажения? Где среди них имеются древние, а где — более молодые или одновозрастные отложения? Вот здесь и возникают трудности. Они становятся непреодолимыми, если изучаются и сравниваются между собой стратиграфические разрезы разных стран и особенно континентов. Здесь на помощь приходит палеонтологический метод. Еще в </w:t>
      </w:r>
      <w:r w:rsidRPr="004779EC">
        <w:rPr>
          <w:sz w:val="28"/>
          <w:szCs w:val="28"/>
          <w:lang w:val="en-US"/>
        </w:rPr>
        <w:t>XVIII</w:t>
      </w:r>
      <w:r w:rsidRPr="004779EC">
        <w:rPr>
          <w:sz w:val="28"/>
          <w:szCs w:val="28"/>
        </w:rPr>
        <w:t xml:space="preserve"> в. естествоиспытатели обратили внимание, что слои осадочных пород содержат ископаемые остатки животных в виде раковин, скелетов и отпечатки растений. Причем ископаемые остатки в нижележащих пластах отличаются от вышележащих — молодых. Далее было замечено, что пласты морских осадочных пород одного и того же возраста содержат одинаковые остатки древних организмов. Это дало геологам один из важнейших методов расчленения и сопоставления разрезов.</w:t>
      </w:r>
    </w:p>
    <w:p w:rsidR="00243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В начале </w:t>
      </w:r>
      <w:r w:rsidRPr="004779EC">
        <w:rPr>
          <w:sz w:val="28"/>
          <w:szCs w:val="28"/>
          <w:lang w:val="en-US"/>
        </w:rPr>
        <w:t>XIX</w:t>
      </w:r>
      <w:r w:rsidRPr="004779EC">
        <w:rPr>
          <w:sz w:val="28"/>
          <w:szCs w:val="28"/>
        </w:rPr>
        <w:t xml:space="preserve"> в. возникла реальная возможность построения геологической шкалы относительной хронологии. Ее относительность следует из того, что анализ и определение видовой или родовой принадлежности ископаемых остатков не могут точно указать время образования горных пород, их заключающих, и время жизни организмов, но позволяют определить древность, молодость или одновозрастность напластований относительно какого-то заранее взятого слоя и провести сопоставления. Менее полувека потребовалось для создания шкалы относительной геохронологии. Она выражала последовательность во времени тех или иных геологических событий в истории земной коры, которые оказались запечатленными в напластованиях осадочных горных пород.</w:t>
      </w:r>
    </w:p>
    <w:p w:rsidR="005E52AC" w:rsidRPr="004779EC" w:rsidRDefault="00243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bCs/>
          <w:sz w:val="28"/>
          <w:szCs w:val="28"/>
        </w:rPr>
        <w:t>Палеонтология — одна из самых увлекательных био</w:t>
      </w:r>
      <w:r w:rsidR="005E52AC" w:rsidRPr="004779EC">
        <w:rPr>
          <w:bCs/>
          <w:sz w:val="28"/>
          <w:szCs w:val="28"/>
        </w:rPr>
        <w:t xml:space="preserve">логических наук — тесно </w:t>
      </w:r>
      <w:r w:rsidR="005E52AC" w:rsidRPr="004779EC">
        <w:rPr>
          <w:sz w:val="28"/>
          <w:szCs w:val="28"/>
        </w:rPr>
        <w:t xml:space="preserve">связана </w:t>
      </w:r>
      <w:r w:rsidR="005E52AC" w:rsidRPr="004779EC">
        <w:rPr>
          <w:bCs/>
          <w:sz w:val="28"/>
          <w:szCs w:val="28"/>
        </w:rPr>
        <w:t xml:space="preserve">с </w:t>
      </w:r>
      <w:r w:rsidR="005E52AC" w:rsidRPr="004779EC">
        <w:rPr>
          <w:sz w:val="28"/>
          <w:szCs w:val="28"/>
        </w:rPr>
        <w:t>геологией. Она занимается изучением ископаемых остатков животных и растений, определением их систематического положения в общей иерархии органического мира и установлением закономерностей эволюционного развития.</w:t>
      </w:r>
    </w:p>
    <w:p w:rsidR="005E52AC" w:rsidRPr="004779EC" w:rsidRDefault="005E5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На основе этапности развития органического мира и минерального состава вмещающих их осадочных образований в течение </w:t>
      </w:r>
      <w:r w:rsidRPr="004779EC">
        <w:rPr>
          <w:sz w:val="28"/>
          <w:szCs w:val="28"/>
          <w:lang w:val="en-US"/>
        </w:rPr>
        <w:t>XIX</w:t>
      </w:r>
      <w:r w:rsidRPr="004779EC">
        <w:rPr>
          <w:sz w:val="28"/>
          <w:szCs w:val="28"/>
        </w:rPr>
        <w:t xml:space="preserve"> в. были установлены все известные в настоящее время и широко применяемые стратиграфические единицы — эратемы, системы, отделы ярусы. Одной из крупных стратиграфических единиц является эратема, в состав которой входят несколько систем. В свою очередь, системы состоят из отделов и ярусов. Каждой стратиграфической единице присвоение собственное наименование.</w:t>
      </w:r>
    </w:p>
    <w:p w:rsidR="005E52AC" w:rsidRPr="004779EC" w:rsidRDefault="005E5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В соответствии со стратиграфическими единицами были выделены геохронологические подразделения, каждое из которых отражает длительность (опять-таки в относительном исчислении) формирования соответствующих стратиграфических подразделений.</w:t>
      </w:r>
    </w:p>
    <w:p w:rsidR="005E52AC" w:rsidRPr="004779EC" w:rsidRDefault="005E5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Интервал времени, необходимый для формировании, группы, обозначен как геологическая эра, время формирования системы соответствует геологическому периоду, отдела — эпохе и яруса — геологическому веку.</w:t>
      </w:r>
    </w:p>
    <w:p w:rsidR="005E52AC" w:rsidRPr="004779EC" w:rsidRDefault="005E5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E52AC" w:rsidRDefault="005E52AC" w:rsidP="004779E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779EC">
        <w:rPr>
          <w:b/>
          <w:sz w:val="28"/>
          <w:szCs w:val="28"/>
        </w:rPr>
        <w:t>Геологическое летоисчисление</w:t>
      </w:r>
    </w:p>
    <w:p w:rsidR="004779EC" w:rsidRP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4AC6" w:rsidRPr="004779EC" w:rsidRDefault="005E52A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Геологи давно заметили, что история нашей планеты делится на две неравные части. Древняя более длительная ее часть трудна для изучения палеонтологическими методами, так как не содержит ископаемых остатков и кроме того, довольно часто осадочные толщи сильно изменены метаморфизмом. Хорошо изучена молодая часть каменной летописи, поскольку осадочные напластования в ней содержат многочисленные остатки организмов количество и сохранность которых возрастают по мере приближения к современной эпохе. Эту молодую часть истории земной коры американский геолог Ч. Шухерт назвал фанерозойским эоном, т. е. временем очевидной </w:t>
      </w:r>
      <w:r w:rsidRPr="004779EC">
        <w:rPr>
          <w:bCs/>
          <w:sz w:val="28"/>
          <w:szCs w:val="28"/>
        </w:rPr>
        <w:t xml:space="preserve">жизни. Эон </w:t>
      </w:r>
      <w:r w:rsidRPr="004779EC">
        <w:rPr>
          <w:sz w:val="28"/>
          <w:szCs w:val="28"/>
        </w:rPr>
        <w:t xml:space="preserve">— </w:t>
      </w:r>
      <w:r w:rsidRPr="004779EC">
        <w:rPr>
          <w:bCs/>
          <w:sz w:val="28"/>
          <w:szCs w:val="28"/>
        </w:rPr>
        <w:t xml:space="preserve">это промежуток времени, </w:t>
      </w:r>
      <w:r w:rsidRPr="004779EC">
        <w:rPr>
          <w:sz w:val="28"/>
          <w:szCs w:val="28"/>
        </w:rPr>
        <w:t xml:space="preserve">объединяющий несколько геологических эр. Его стратиграфическим </w:t>
      </w:r>
      <w:r w:rsidRPr="004779EC">
        <w:rPr>
          <w:bCs/>
          <w:sz w:val="28"/>
          <w:szCs w:val="28"/>
        </w:rPr>
        <w:t>эквивалентом является эонотема.</w:t>
      </w:r>
    </w:p>
    <w:p w:rsidR="008A4AC6" w:rsidRPr="004779EC" w:rsidRDefault="008A4AC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Более древнюю и продолжительную часть геологической истории Ч. Шухерт назвал криптозоем, или временем со скрытым развитием жизни. Довольно часто ее</w:t>
      </w:r>
      <w:r w:rsidRPr="004779EC">
        <w:rPr>
          <w:smallCaps/>
          <w:sz w:val="28"/>
          <w:szCs w:val="28"/>
          <w:lang w:val="uk-UA"/>
        </w:rPr>
        <w:t xml:space="preserve"> </w:t>
      </w:r>
      <w:r w:rsidRPr="004779EC">
        <w:rPr>
          <w:sz w:val="28"/>
          <w:szCs w:val="28"/>
        </w:rPr>
        <w:t xml:space="preserve">еще называют докембрием. Это название сохранилось с середины </w:t>
      </w:r>
      <w:r w:rsidRPr="004779EC">
        <w:rPr>
          <w:sz w:val="28"/>
          <w:szCs w:val="28"/>
          <w:lang w:val="en-US"/>
        </w:rPr>
        <w:t>XIX</w:t>
      </w:r>
      <w:r w:rsidRPr="004779EC">
        <w:rPr>
          <w:sz w:val="28"/>
          <w:szCs w:val="28"/>
        </w:rPr>
        <w:t xml:space="preserve"> в., когда было установлено абсолютное большинство геологических периодов. Все более древние отложения, залегающие под кембрийскими толщами, стали датироваться докембрием. В настоящее время вместо криптозоя выделяют два эона: архейский и протерозойский.</w:t>
      </w:r>
    </w:p>
    <w:p w:rsidR="008A4AC6" w:rsidRPr="004779EC" w:rsidRDefault="008A4AC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Широкая распространенность, богатство ископаемыми органическими остатками и относительная доступность фанерозойских отложений предопределили их более лучшую изученность. Английский геолог Дж. Филлипс в </w:t>
      </w:r>
      <w:smartTag w:uri="urn:schemas-microsoft-com:office:smarttags" w:element="metricconverter">
        <w:smartTagPr>
          <w:attr w:name="ProductID" w:val="1841 г"/>
        </w:smartTagPr>
        <w:r w:rsidRPr="004779EC">
          <w:rPr>
            <w:sz w:val="28"/>
            <w:szCs w:val="28"/>
          </w:rPr>
          <w:t>1841 г</w:t>
        </w:r>
      </w:smartTag>
      <w:r w:rsidRPr="004779EC">
        <w:rPr>
          <w:sz w:val="28"/>
          <w:szCs w:val="28"/>
        </w:rPr>
        <w:t>. в составе фанерозоя выделил три эры: палеозойскую — эру древней жизни; мезозойскую — эру средней жизни и кайнозойскую — эру новой жизни. В палеозое господствовали морские беспозвоночные, рыбы, земноводные и споровые растения, в мезозое — пресмыкающиеся и голосеменные растения, а в кайнозое — млекопитающие и покрытосеменные растения.</w:t>
      </w:r>
    </w:p>
    <w:p w:rsidR="008A4AC6" w:rsidRPr="004779EC" w:rsidRDefault="008A4AC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Сформированные в течение геологической эры отложения называются эратемами. Более мелкими стратиграфическими единицами являются системы, отделы и ярусы. Имена системам и ярусам были даны преимущественно по названию местностей, где они были установлены и изучены, или по каким-либо характерным признакам. Так, название юрской системы произошло от Юрских гор в Швейцарии, пермской — от г. Перми, кембрийской от древнего названия английской провинции Уэльс, меловой — от широко распространенного писчего мела, каменноугольной — от каменного угля и т. д.</w:t>
      </w:r>
    </w:p>
    <w:p w:rsidR="008A4AC6" w:rsidRPr="004779EC" w:rsidRDefault="008A4AC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Если стратиграфическая шкала отражает последовательность отложений и их соподчиненность, то геохронологическая — определяет длительность и закономерную последовательность этапов исторического развития Земли. На протяжении последних 100 лет геохронологическую и стратиграфическую шкалы фанерозоя многократно пересматривали.</w:t>
      </w:r>
    </w:p>
    <w:p w:rsidR="00A720A0" w:rsidRPr="004779EC" w:rsidRDefault="008A4AC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Однако в геологии важно знать не только относительный возраст горных пород, но и, по возможности, точное время их происхождения. Для определения возраста горных пород применяется несколько различных</w:t>
      </w:r>
      <w:r w:rsidR="00A720A0" w:rsidRPr="004779EC">
        <w:rPr>
          <w:sz w:val="28"/>
          <w:szCs w:val="28"/>
        </w:rPr>
        <w:t xml:space="preserve"> методов,</w:t>
      </w:r>
      <w:r w:rsidR="00A720A0" w:rsidRPr="004779EC">
        <w:rPr>
          <w:smallCaps/>
          <w:sz w:val="28"/>
          <w:szCs w:val="28"/>
        </w:rPr>
        <w:t xml:space="preserve"> </w:t>
      </w:r>
      <w:r w:rsidR="00A720A0" w:rsidRPr="004779EC">
        <w:rPr>
          <w:sz w:val="28"/>
          <w:szCs w:val="28"/>
        </w:rPr>
        <w:t>основанных на явлении радиоактивного распада. В связи с этим возраст пород носит название радиогеохронометрического. Для его определения используют радиоактивные изотопы урана, тория, рубидия, калия, углерода и водорода. Ввиду того что нам известны скорости распада радиоактивного изотопа, легко можно определить возраст минерала, а следовательно, и породы. В настоящее время разработаны и широко применятся различные методы ядерной геохронологии: ураноторий-свинцовый, ураноторий-гелиевый, урано-ксеноновый, калий-аргоновый, рубидий-стронциевый, самарий-ниодимовый, рений-осмиевый и радиоуглеродный. Содержание радиоактивных изотопов в горных породах и минералах определяется в специальных приборах — м</w:t>
      </w:r>
      <w:r w:rsidR="00A720A0" w:rsidRPr="004779EC">
        <w:rPr>
          <w:sz w:val="28"/>
          <w:szCs w:val="28"/>
          <w:lang w:val="en-US"/>
        </w:rPr>
        <w:t>acc</w:t>
      </w:r>
      <w:r w:rsidR="00A720A0" w:rsidRPr="004779EC">
        <w:rPr>
          <w:sz w:val="28"/>
          <w:szCs w:val="28"/>
        </w:rPr>
        <w:t>-спектрометрах.</w:t>
      </w:r>
    </w:p>
    <w:p w:rsidR="00A720A0" w:rsidRPr="004779EC" w:rsidRDefault="00A720A0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Благодаря методам ядерной геохронологии, устанавливается возраст магматических и осадочных горных пород, а для метаморфических пород определяется время воздействия на них высоких температур и давления. Изотопный возраст наиболее древних пород земного шара составляет 3,8—4 млрд. лет. Близкий возраст имеют некоторые лунные породы и метеориты.</w:t>
      </w:r>
    </w:p>
    <w:p w:rsidR="008A4AC6" w:rsidRPr="004779EC" w:rsidRDefault="00A720A0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Трудность изучения архейских и протерозойских отложений предопределила их слабую стратиграфическую и геохронологическую расчлененность. Вот как выглядит в настоящее время пока далекая от совершенства и детальности шкала архея и протерозоя.</w:t>
      </w:r>
    </w:p>
    <w:p w:rsidR="00516BB8" w:rsidRDefault="00516BB8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В геологии применяется также дополнительный метод возрастного расчленения и сопоставления отложе, </w:t>
      </w:r>
      <w:r w:rsidRPr="004779EC">
        <w:rPr>
          <w:sz w:val="28"/>
          <w:szCs w:val="28"/>
          <w:lang w:val="uk-UA"/>
        </w:rPr>
        <w:t xml:space="preserve">ний. </w:t>
      </w:r>
      <w:r w:rsidRPr="004779EC">
        <w:rPr>
          <w:sz w:val="28"/>
          <w:szCs w:val="28"/>
        </w:rPr>
        <w:t>Это палеомагнитный метод, основанный на явлении сохранения в толщах горных пород магнитных свойств. Горные породы, содержащие магнитные минералы, обладают ферромагнитными (намагниченными) свойства, ми и под влиянием магнитного поля Земли приобретают естественную остаточную намагниченность. Сейчас доказано, что в течение длительной геологической истории положение магнитных полюсов неоднократно менялось. Установив остаточную намагниченность и ее направленность (т. е. вектор) и сравнивая между собой вектора, можно установить одновозрастность горных пород, что в определенной степени уточняет геохронологическую шкалу.</w:t>
      </w:r>
    </w:p>
    <w:p w:rsidR="004779EC" w:rsidRPr="004779EC" w:rsidRDefault="004779EC" w:rsidP="004779EC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516BB8" w:rsidRDefault="00516BB8" w:rsidP="004779E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779EC">
        <w:rPr>
          <w:b/>
          <w:sz w:val="28"/>
          <w:szCs w:val="28"/>
        </w:rPr>
        <w:t>Основные этапы формирования земной коры</w:t>
      </w:r>
    </w:p>
    <w:p w:rsidR="004779EC" w:rsidRP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516BB8" w:rsidRPr="004779EC" w:rsidRDefault="00516BB8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Определение возраста различных изверженных пород позволило не только установить продолжительность геологических периодов, но и выделить наиболее древние горные породы Земли. В настоящее время известно, что документированные следы жизни на Земле возникли свыше 3 млрд. лет, самые древние осадочные породы обладают возрастом немногим более 3,8 млрд. лет, а возраст Земли оценивается в 4,6—5 млрд. лет, хотя некоторые ученые считают эти цифры завышенными.</w:t>
      </w:r>
    </w:p>
    <w:p w:rsidR="00516BB8" w:rsidRPr="004779EC" w:rsidRDefault="00516BB8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Установлено, что эпохи интенсивной вулканической деятельности были кратковременными и разделялись длительными эпохами со слабым проявлением магматизма. Эпохи усиленного магматизма характеризовались высокой степенью тектонической активности, т. е. значительными вертикальными и горизонтальными движениями земной коры.</w:t>
      </w:r>
    </w:p>
    <w:p w:rsidR="00516BB8" w:rsidRPr="004779EC" w:rsidRDefault="00516BB8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Данные о возрасте изверженных пород дают возможность установить существование сравнительно </w:t>
      </w:r>
      <w:r w:rsidRPr="004779EC">
        <w:rPr>
          <w:sz w:val="28"/>
          <w:szCs w:val="28"/>
          <w:lang w:val="uk-UA"/>
        </w:rPr>
        <w:t xml:space="preserve">коротких </w:t>
      </w:r>
      <w:r w:rsidRPr="004779EC">
        <w:rPr>
          <w:sz w:val="28"/>
          <w:szCs w:val="28"/>
        </w:rPr>
        <w:t>эпох повышенной магматической и тектонической активности и длительных периодов относительного покоя. Это, в свою очередь, позволяет провести естественную периодизацию истории Земли по степени тектонической и магматической интенсивности. Сводные данные о возрасте изверженных пород, по сути дела, являются календарем основных тектонических событий в истории Земли. На основании исследований главным образом гранитных интрузий уточнен возраст тектоно-магматических циклов (эпох) в истории Земли. Вместе с тем необходимо отметить, что время проявления этих циклов на материках неодинаково и имеются частые отступления от планетарной единовременности этих процессов.</w:t>
      </w:r>
    </w:p>
    <w:p w:rsidR="00516BB8" w:rsidRDefault="00516BB8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О далеком геологическом прошлом практически полностью отсутствуют фактические данные. Можно только предполагать, что до 3,5 млрд. лет назад существовал очень активный вулканизм с излиянием базальтовых и гипербазитовых лав. Одновременно выделялся значительный объем газов. Это привело к созданию не только земной коры, но и первичной атмосферы.</w:t>
      </w:r>
    </w:p>
    <w:p w:rsidR="004779EC" w:rsidRP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16BB8" w:rsidRPr="004779EC" w:rsidRDefault="00516BB8" w:rsidP="004779E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779EC">
        <w:rPr>
          <w:b/>
          <w:sz w:val="28"/>
          <w:szCs w:val="28"/>
        </w:rPr>
        <w:t>Возраст тектоно-магматических эпох в истории Земли</w:t>
      </w:r>
    </w:p>
    <w:tbl>
      <w:tblPr>
        <w:tblW w:w="486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083"/>
        <w:gridCol w:w="2814"/>
      </w:tblGrid>
      <w:tr w:rsidR="00516BB8" w:rsidRPr="004779EC" w:rsidTr="00A16C66">
        <w:trPr>
          <w:trHeight w:val="36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Номер эпохи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Тектоно-магматическая эпоха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Время проявлений, млрд. лет</w:t>
            </w:r>
          </w:p>
        </w:tc>
      </w:tr>
      <w:tr w:rsidR="00516BB8" w:rsidRPr="004779EC" w:rsidTr="00A16C66">
        <w:trPr>
          <w:trHeight w:val="355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20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Альпийская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0,06</w:t>
            </w:r>
          </w:p>
        </w:tc>
      </w:tr>
      <w:tr w:rsidR="00516BB8" w:rsidRPr="004779EC" w:rsidTr="00A16C66">
        <w:trPr>
          <w:trHeight w:val="187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19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Киммерийская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0,09</w:t>
            </w:r>
          </w:p>
        </w:tc>
      </w:tr>
      <w:tr w:rsidR="00516BB8" w:rsidRPr="004779EC" w:rsidTr="00A16C66">
        <w:trPr>
          <w:trHeight w:val="163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18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Герцинская (варисская)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0,26</w:t>
            </w:r>
          </w:p>
        </w:tc>
      </w:tr>
      <w:tr w:rsidR="00516BB8" w:rsidRPr="004779EC" w:rsidTr="00A16C66">
        <w:trPr>
          <w:trHeight w:val="173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17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Каледонская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0,41</w:t>
            </w:r>
          </w:p>
        </w:tc>
      </w:tr>
      <w:tr w:rsidR="00516BB8" w:rsidRPr="004779EC" w:rsidTr="00A16C66">
        <w:trPr>
          <w:trHeight w:val="341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16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Салаирская (позднебайкальская, сардская)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01,52</w:t>
            </w:r>
          </w:p>
        </w:tc>
      </w:tr>
      <w:tr w:rsidR="00516BB8" w:rsidRPr="004779EC" w:rsidTr="00A16C66">
        <w:trPr>
          <w:trHeight w:val="355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15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Катангинская (раннебайкальская, ассинтская, кадомская, железногорская)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0,05</w:t>
            </w:r>
          </w:p>
        </w:tc>
      </w:tr>
      <w:tr w:rsidR="00516BB8" w:rsidRPr="004779EC" w:rsidTr="00A16C66">
        <w:trPr>
          <w:trHeight w:val="15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14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Делийская (дальнеландская)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0,86</w:t>
            </w:r>
          </w:p>
        </w:tc>
      </w:tr>
      <w:tr w:rsidR="00516BB8" w:rsidRPr="004779EC" w:rsidTr="00A16C66">
        <w:trPr>
          <w:trHeight w:val="163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13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0,93</w:t>
            </w:r>
          </w:p>
        </w:tc>
      </w:tr>
      <w:tr w:rsidR="00516BB8" w:rsidRPr="004779EC" w:rsidTr="00A16C66">
        <w:trPr>
          <w:trHeight w:val="187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12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Гренвильская (сатпурская)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1,09</w:t>
            </w:r>
          </w:p>
        </w:tc>
      </w:tr>
      <w:tr w:rsidR="00516BB8" w:rsidRPr="004779EC" w:rsidTr="00A16C66">
        <w:trPr>
          <w:trHeight w:val="15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11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1,21</w:t>
            </w:r>
          </w:p>
        </w:tc>
      </w:tr>
      <w:tr w:rsidR="00516BB8" w:rsidRPr="004779EC" w:rsidTr="00A16C66">
        <w:trPr>
          <w:trHeight w:val="346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10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Готская(медвежьеозерская, мазатиальская, кибарская,</w:t>
            </w:r>
            <w:r w:rsidR="004779EC" w:rsidRPr="004779EC">
              <w:t xml:space="preserve"> </w:t>
            </w:r>
            <w:r w:rsidRPr="004779EC">
              <w:t>эльсонская)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1,36</w:t>
            </w:r>
          </w:p>
        </w:tc>
      </w:tr>
      <w:tr w:rsidR="00516BB8" w:rsidRPr="004779EC" w:rsidTr="00A16C66">
        <w:trPr>
          <w:trHeight w:val="182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9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1,49</w:t>
            </w:r>
          </w:p>
        </w:tc>
      </w:tr>
      <w:tr w:rsidR="00516BB8" w:rsidRPr="004779EC" w:rsidTr="00A16C66">
        <w:trPr>
          <w:trHeight w:val="341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8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Карельская (гудзонская, свекофенская, буларенинская, лаксфордская)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1,67</w:t>
            </w:r>
          </w:p>
        </w:tc>
      </w:tr>
      <w:tr w:rsidR="00516BB8" w:rsidRPr="004779EC" w:rsidTr="00A16C66">
        <w:trPr>
          <w:trHeight w:val="16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7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1,83</w:t>
            </w:r>
          </w:p>
        </w:tc>
      </w:tr>
      <w:tr w:rsidR="00516BB8" w:rsidRPr="004779EC" w:rsidTr="00A16C66">
        <w:trPr>
          <w:trHeight w:val="17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6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Балтийская (эбурнейская, пенокийская)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1,98</w:t>
            </w:r>
          </w:p>
        </w:tc>
      </w:tr>
      <w:tr w:rsidR="00516BB8" w:rsidRPr="004779EC" w:rsidTr="00A16C66">
        <w:trPr>
          <w:trHeight w:val="16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.5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Раннекарельская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2,23</w:t>
            </w:r>
          </w:p>
        </w:tc>
      </w:tr>
      <w:tr w:rsidR="00516BB8" w:rsidRPr="004779EC" w:rsidTr="00A16C66">
        <w:trPr>
          <w:trHeight w:val="163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4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Альгонкская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2,44</w:t>
            </w:r>
          </w:p>
        </w:tc>
      </w:tr>
      <w:tr w:rsidR="00516BB8" w:rsidRPr="004779EC" w:rsidTr="00A16C66">
        <w:trPr>
          <w:trHeight w:val="355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3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Кеноранская (беломорская, лаврентьевская,</w:t>
            </w:r>
            <w:r w:rsidR="004779EC" w:rsidRPr="004779EC">
              <w:t xml:space="preserve"> </w:t>
            </w:r>
            <w:r w:rsidRPr="004779EC">
              <w:t>родезийская, шамваянская)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2,70</w:t>
            </w:r>
          </w:p>
        </w:tc>
      </w:tr>
      <w:tr w:rsidR="00516BB8" w:rsidRPr="004779EC" w:rsidTr="00A16C66">
        <w:trPr>
          <w:trHeight w:val="168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2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Кольская (трансваальская, саамская)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3,06</w:t>
            </w:r>
          </w:p>
        </w:tc>
      </w:tr>
      <w:tr w:rsidR="00516BB8" w:rsidRPr="004779EC" w:rsidTr="00A16C66">
        <w:trPr>
          <w:trHeight w:val="355"/>
        </w:trPr>
        <w:tc>
          <w:tcPr>
            <w:tcW w:w="765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A16C66">
              <w:rPr>
                <w:bCs/>
              </w:rPr>
              <w:t>1</w:t>
            </w:r>
          </w:p>
        </w:tc>
        <w:tc>
          <w:tcPr>
            <w:tcW w:w="2726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Белозерская</w:t>
            </w:r>
          </w:p>
        </w:tc>
        <w:tc>
          <w:tcPr>
            <w:tcW w:w="1509" w:type="pct"/>
            <w:shd w:val="clear" w:color="auto" w:fill="auto"/>
          </w:tcPr>
          <w:p w:rsidR="00516BB8" w:rsidRPr="004779EC" w:rsidRDefault="00516BB8" w:rsidP="00A16C66">
            <w:pPr>
              <w:shd w:val="clear" w:color="auto" w:fill="FFFFFF"/>
              <w:spacing w:line="360" w:lineRule="auto"/>
              <w:jc w:val="both"/>
            </w:pPr>
            <w:r w:rsidRPr="004779EC">
              <w:t>3,5</w:t>
            </w:r>
          </w:p>
        </w:tc>
      </w:tr>
    </w:tbl>
    <w:p w:rsidR="00516BB8" w:rsidRPr="004779EC" w:rsidRDefault="00516BB8" w:rsidP="004779EC">
      <w:pPr>
        <w:spacing w:line="360" w:lineRule="auto"/>
        <w:ind w:firstLine="720"/>
        <w:jc w:val="both"/>
        <w:rPr>
          <w:sz w:val="28"/>
          <w:szCs w:val="28"/>
        </w:rPr>
      </w:pP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В течение белозерской тектоно-магматической эпохи в начале архейского зона и Кольской эпохи в середине архея протекали процессы гранитизации и возникали первые осадочные бассейны. Для этого времени известны песчаные и глинистые (правда, подвергшиеся сильному метаморфизму) толщи, карбонатные породы и даже продукты их преобразования.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В кеноранскую тектоно-магматическую эпоху в кон</w:t>
      </w:r>
      <w:r w:rsidRPr="004779EC">
        <w:rPr>
          <w:sz w:val="28"/>
          <w:szCs w:val="28"/>
          <w:lang w:val="uk-UA"/>
        </w:rPr>
        <w:t xml:space="preserve">це </w:t>
      </w:r>
      <w:r w:rsidRPr="004779EC">
        <w:rPr>
          <w:sz w:val="28"/>
          <w:szCs w:val="28"/>
        </w:rPr>
        <w:t>архейского зона были сформированы ядра будущих крупнейших устойчивых геоструктурных элементов Земли — ядра континентальных платформ. В последующие времена ядра платформ продолжали нарастать.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В течение кеноранской, альгонкской, раннекарель</w:t>
      </w:r>
      <w:r w:rsidRPr="004779EC">
        <w:rPr>
          <w:sz w:val="28"/>
          <w:szCs w:val="28"/>
          <w:lang w:val="uk-UA"/>
        </w:rPr>
        <w:t xml:space="preserve">ской, </w:t>
      </w:r>
      <w:r w:rsidRPr="004779EC">
        <w:rPr>
          <w:sz w:val="28"/>
          <w:szCs w:val="28"/>
        </w:rPr>
        <w:t>балтийской, буларенинской и карельской тектономагматических эпох сформировались фундаменты всех известных древних континентальных платформ: Восточно-Европейской, Сибирской, Китайской, Таримской, Индостанской, Африкано-Аравийской, Северо-Американ-</w:t>
      </w:r>
      <w:r w:rsidRPr="004779EC">
        <w:rPr>
          <w:sz w:val="28"/>
          <w:szCs w:val="28"/>
          <w:lang w:val="uk-UA"/>
        </w:rPr>
        <w:t xml:space="preserve">ской, </w:t>
      </w:r>
      <w:r w:rsidRPr="004779EC">
        <w:rPr>
          <w:sz w:val="28"/>
          <w:szCs w:val="28"/>
        </w:rPr>
        <w:t xml:space="preserve">Южно-Американской и Восточно-Австралийской, На протяжении почти 1 млрд. лет (от 2,7 до </w:t>
      </w:r>
      <w:r w:rsidRPr="004779EC">
        <w:rPr>
          <w:bCs/>
          <w:sz w:val="28"/>
          <w:szCs w:val="28"/>
        </w:rPr>
        <w:t xml:space="preserve">1,67 </w:t>
      </w:r>
      <w:r w:rsidRPr="004779EC">
        <w:rPr>
          <w:sz w:val="28"/>
          <w:szCs w:val="28"/>
        </w:rPr>
        <w:t>млрд. лет назад) происходило формирование первичного гранитогнейсового слоя земной коры, а наличие карбонатных осадочных пород способствовало образованию щелочных интрузий. Огромные плутоны гранитоидов площадью свыше тысячи квадратных километров в окружении древнейших осадочных пород зафиксировали в пределах континентальных платформ устойчивые в последующее время участки коры, называемые щитами Примерами являются Балтийский, Украинский, Алданский, Канадский, Гвианский, Бразильский, Аравийский щиты.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Исходя из аналогичности и одновременности образования всех известных древнейших платформ, можно предполагать, что в протерозое существовал огромный единый континент Мегагея (или Большая Земля), окруженный единым Мировым океаном.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Начиная с 1,67 млрд. лет назад древние платформы особенно щиты, становятся устойчивыми во времени и пространстве структурными элементами земной коры. Однако в пределах платформ в дальнейшем возникли участки плавного и сравнительно небольшого прогибания (синеклизы), происходило раскалывание коры вдоль систем глубинных разломов консолидированных древних подвижных поясов. В этом случае возникали крупные протяженные впадины с высокой подвижностью — авлакогены. Такими, в частности, являются Катангский ав</w:t>
      </w:r>
      <w:r w:rsidRPr="004779EC">
        <w:rPr>
          <w:bCs/>
          <w:sz w:val="28"/>
          <w:szCs w:val="28"/>
        </w:rPr>
        <w:t>лакоген на Африканской платформе или Днепровско-Доне</w:t>
      </w:r>
      <w:r w:rsidRPr="004779EC">
        <w:rPr>
          <w:sz w:val="28"/>
          <w:szCs w:val="28"/>
        </w:rPr>
        <w:t>цкий на Восточно-Европейской платформе.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На протяжении последующих тектономагматических циклов платформы или продолжали наращиваться за счет подвижных поясов, образующихся на их периферии или раскалывались на части и впоследствии испытывали разнонаправленные перемещения с различной скоростью. В последний миллиард лет геологической истории наблюдалось постепенное угасание </w:t>
      </w:r>
      <w:r w:rsidRPr="004779EC">
        <w:rPr>
          <w:bCs/>
          <w:sz w:val="28"/>
          <w:szCs w:val="28"/>
        </w:rPr>
        <w:t xml:space="preserve">силы </w:t>
      </w:r>
      <w:r w:rsidRPr="004779EC">
        <w:rPr>
          <w:sz w:val="28"/>
          <w:szCs w:val="28"/>
        </w:rPr>
        <w:t>магматизма.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Готская тектономагматическая эпоха характеризовалась развитием на большинстве платформ гранитизации дорифейских пород и метаморфизма. В среднем и особенно позднем рифее продолжались гранитизация в подвижных поясах и дальнейшее наращивание площади платформ.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Магматизм катангинской (раннебайкальской) и позднебайкальской тектономагматических эпох на платформах проявился по-разному. Однако их общей чертой являлось, с одной стороны, интенсивная складчатость, а с другой — раскол и перемещение крупных платформенных глыб (литосферных плит).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Результатом проявления ранне- и позднебайкальской тектономагматических эпох стало сближение и соединение в единый суперконтинент Гондвану пяти крупнейших континентальных платформ южного полушария — Африкано-Аравийской, Австралийской, Южно-Американской, Антарктической и Индостанской, в северном полушарии располагались Восточно-Европейская, Северо-Американская, Сибирская и Китайская платформы.</w:t>
      </w:r>
    </w:p>
    <w:p w:rsidR="001372D6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Каледонская тектономагматическая эпоха характеризовалась не только усилением магматизма, но и привела к подъему и образованию в северном полушарии нового суперконтинента Лавразии за счет объединения Северо-Американской, Восточно-Европейской, Сибирской и Китайской платформ. Он отделялся от Гондваны крупным океаном Тетис.</w:t>
      </w:r>
    </w:p>
    <w:p w:rsidR="00581B02" w:rsidRPr="004779EC" w:rsidRDefault="001372D6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В отличие от более древних этапов, тектономагматические эпохи фанерозоя вследствие хорошей сохранности горных пород и их хорошей изученности подразделяются на целый ряд фаз, более коротких, чем эпохи, фазы, так же как и сами тектономагматические эпохи, </w:t>
      </w:r>
      <w:r w:rsidRPr="004779EC">
        <w:rPr>
          <w:bCs/>
          <w:sz w:val="28"/>
          <w:szCs w:val="28"/>
        </w:rPr>
        <w:t>характеризуются высоким стоянием континентов над</w:t>
      </w:r>
      <w:r w:rsidR="00581B02" w:rsidRPr="004779EC">
        <w:rPr>
          <w:bCs/>
          <w:sz w:val="28"/>
          <w:szCs w:val="28"/>
        </w:rPr>
        <w:t xml:space="preserve"> </w:t>
      </w:r>
      <w:r w:rsidR="00581B02" w:rsidRPr="004779EC">
        <w:rPr>
          <w:sz w:val="28"/>
          <w:szCs w:val="28"/>
        </w:rPr>
        <w:t>уровнем моря (преобладание воздымания), развитием магматизма и значительными тектоническими движениями.</w:t>
      </w:r>
    </w:p>
    <w:p w:rsidR="00581B02" w:rsidRPr="004779EC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Такие фазы носят название теократических. Они сменялись более продолжительными по времени талассократическими фазами, когда осуществлялось активное прогибание платформ и развивались трансгрессии, т.е. шло наступление моря на сушу.</w:t>
      </w:r>
    </w:p>
    <w:p w:rsidR="00581B02" w:rsidRPr="004779EC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В результате тектонической и магматической деятельности в каледонскую эпоху были образованы крупные горноскладчатые сооружения на западе Северо-Американской платформы (Аппалачи), в </w:t>
      </w:r>
      <w:r w:rsidRPr="004779EC">
        <w:rPr>
          <w:sz w:val="28"/>
          <w:szCs w:val="28"/>
          <w:lang w:val="uk-UA"/>
        </w:rPr>
        <w:t xml:space="preserve">Центральной </w:t>
      </w:r>
      <w:r w:rsidRPr="004779EC">
        <w:rPr>
          <w:sz w:val="28"/>
          <w:szCs w:val="28"/>
        </w:rPr>
        <w:t>Азии (Центральный Казахстан, Алтай, Саяны, Монголия), в Восточной Австралии, на о-ве Тасмания и в Антарктиде.</w:t>
      </w:r>
    </w:p>
    <w:p w:rsidR="00581B02" w:rsidRPr="004779EC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В герцинскую </w:t>
      </w:r>
      <w:r w:rsidR="00934C6F" w:rsidRPr="004779EC">
        <w:rPr>
          <w:sz w:val="28"/>
          <w:szCs w:val="28"/>
        </w:rPr>
        <w:t>тектономагматическую</w:t>
      </w:r>
      <w:r w:rsidRPr="004779EC">
        <w:rPr>
          <w:sz w:val="28"/>
          <w:szCs w:val="28"/>
        </w:rPr>
        <w:t xml:space="preserve"> эпоху произошло соединение в единый материк Пангею Гондванского и Лавразийского суперконтинентов. Так же, как и около 1 млрд. лет назад, материк Пангея омывался единым океаном. Интенсивные горообразовательные движения привели к возникновению крупных горных систем, носящих название герцинид. Все они располагаются на перифериях древних платформ. К ним относятся Тибет, Гиндукуш, Каракорум, Тянь-Шань, Алтай, Кунь-лунь, Урал, горные системы Центральной и Северной Европы, Южной и Северной Америки (Аппалачи, Кордильеры), северо-запад Африки, Восточная Австралия. В эту же эпоху в результате консолидации складчатых областей образовался целый ряд так называемых эпигерцинских плит, или молодых платформ, — значительная часть Западно-Европейской платформы, Скифская, Туранская, Западно-Сибирская плиты и др.</w:t>
      </w:r>
    </w:p>
    <w:p w:rsidR="00581B02" w:rsidRPr="004779EC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 xml:space="preserve">В киммерийскую </w:t>
      </w:r>
      <w:r w:rsidR="00934C6F" w:rsidRPr="004779EC">
        <w:rPr>
          <w:sz w:val="28"/>
          <w:szCs w:val="28"/>
        </w:rPr>
        <w:t>тектономагматическую</w:t>
      </w:r>
      <w:r w:rsidRPr="004779EC">
        <w:rPr>
          <w:sz w:val="28"/>
          <w:szCs w:val="28"/>
        </w:rPr>
        <w:t xml:space="preserve"> эпоху произошли внедрение различного состава интрузий в пределы подв</w:t>
      </w:r>
      <w:r w:rsidR="00934C6F" w:rsidRPr="004779EC">
        <w:rPr>
          <w:sz w:val="28"/>
          <w:szCs w:val="28"/>
        </w:rPr>
        <w:t>иж</w:t>
      </w:r>
      <w:r w:rsidRPr="004779EC">
        <w:rPr>
          <w:sz w:val="28"/>
          <w:szCs w:val="28"/>
        </w:rPr>
        <w:t xml:space="preserve">ных поясов, горообразование и распад Пангеи. В течение триасового, юрского периодов и раннемеловой эпохи вновь возникли суперконтиненты </w:t>
      </w:r>
      <w:r w:rsidRPr="004779EC">
        <w:rPr>
          <w:sz w:val="28"/>
          <w:szCs w:val="28"/>
          <w:lang w:val="uk-UA"/>
        </w:rPr>
        <w:t xml:space="preserve">Лавразия </w:t>
      </w:r>
      <w:r w:rsidRPr="004779EC">
        <w:rPr>
          <w:sz w:val="28"/>
          <w:szCs w:val="28"/>
        </w:rPr>
        <w:t>и Гондвана, разделенные молодым океаном Тетис и Южной Атлантикой. Горообразовательные процессы проявились главным образом на окраинах Лавразии. В это время возникли Крымские горы и горные системы Приверхоянья, Значительные движения испытали и ранее возникшие горные системы Аппалачей, Кавказа и Центральной Азии.</w:t>
      </w:r>
    </w:p>
    <w:p w:rsidR="00581B02" w:rsidRPr="004779EC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Альпийская тектономагматическая эпоха началась в конце мелового периода и продолжается до Настоящего времени. С нею связаны не только внедрение интрузий кислого, основного и щелочного составов в подвижных поясах, возникновение океанов и континентов современного очертания, но и создание таких величайших горных систем, как Альпы, Динариды, Гималаи, Анды, Кордильеры и т. д.</w:t>
      </w:r>
    </w:p>
    <w:p w:rsidR="00581B02" w:rsidRPr="004779EC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Геохронологическая шкала создавалась с большим трудом</w:t>
      </w:r>
      <w:r w:rsidRPr="004779EC">
        <w:rPr>
          <w:smallCaps/>
          <w:sz w:val="28"/>
          <w:szCs w:val="28"/>
        </w:rPr>
        <w:t xml:space="preserve"> </w:t>
      </w:r>
      <w:r w:rsidRPr="004779EC">
        <w:rPr>
          <w:sz w:val="28"/>
          <w:szCs w:val="28"/>
        </w:rPr>
        <w:t>и длительное время. До сих пор не прекращаются споры по поводу проведения многих стратиграфических границ. Иногда даже приходится созывать международные симпозиумы с тем, чтобы сообща договориться о том, где и как проводить границу той или иной стратиграфической или геохронологической единицы.</w:t>
      </w:r>
    </w:p>
    <w:p w:rsidR="00516BB8" w:rsidRDefault="00581B02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Благодаря созданию геохронологической шкалы геологическая наука сильно преобразилась. Она превратилась в естественноисторическую науку. Происходившие в прошлом события стали распределяться в хронологическом порядке. Применение радиоактивности дало возможность решить проблему возраста Земли, метеоритов и Луны и количественно выразить длительность каждого геологического периода.</w:t>
      </w:r>
    </w:p>
    <w:p w:rsidR="004779EC" w:rsidRPr="004779EC" w:rsidRDefault="004779EC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779EC">
        <w:rPr>
          <w:sz w:val="28"/>
          <w:szCs w:val="28"/>
        </w:rPr>
        <w:br w:type="page"/>
      </w:r>
      <w:r w:rsidRPr="004779EC">
        <w:rPr>
          <w:b/>
          <w:sz w:val="28"/>
          <w:szCs w:val="28"/>
        </w:rPr>
        <w:t>Литература</w:t>
      </w:r>
    </w:p>
    <w:p w:rsidR="00934C6F" w:rsidRPr="004779EC" w:rsidRDefault="00934C6F" w:rsidP="004779E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C6F" w:rsidRPr="004779EC" w:rsidRDefault="00934C6F" w:rsidP="004779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1.Вологдин А.Г. Земля и жизнь. – М., 1996</w:t>
      </w:r>
    </w:p>
    <w:p w:rsidR="00934C6F" w:rsidRPr="004779EC" w:rsidRDefault="00934C6F" w:rsidP="004779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2.Войлошников В.Р. Геология. – М., 1989</w:t>
      </w:r>
    </w:p>
    <w:p w:rsidR="00934C6F" w:rsidRPr="004779EC" w:rsidRDefault="00934C6F" w:rsidP="004779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3.Друянов В.А. Загадочная биография Земли. – М., 1981</w:t>
      </w:r>
    </w:p>
    <w:p w:rsidR="00934C6F" w:rsidRPr="004779EC" w:rsidRDefault="00934C6F" w:rsidP="004779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79EC">
        <w:rPr>
          <w:sz w:val="28"/>
          <w:szCs w:val="28"/>
        </w:rPr>
        <w:t>4.Музафаров В.Г. Основы геологии. – М., 2002</w:t>
      </w:r>
      <w:bookmarkStart w:id="0" w:name="_GoBack"/>
      <w:bookmarkEnd w:id="0"/>
    </w:p>
    <w:sectPr w:rsidR="00934C6F" w:rsidRPr="004779EC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10A"/>
    <w:rsid w:val="000176A7"/>
    <w:rsid w:val="00113E31"/>
    <w:rsid w:val="001372D6"/>
    <w:rsid w:val="0023194C"/>
    <w:rsid w:val="002432AC"/>
    <w:rsid w:val="00377099"/>
    <w:rsid w:val="003D72C6"/>
    <w:rsid w:val="004779EC"/>
    <w:rsid w:val="00516BB8"/>
    <w:rsid w:val="00581B02"/>
    <w:rsid w:val="005E52AC"/>
    <w:rsid w:val="00642105"/>
    <w:rsid w:val="006D4FC1"/>
    <w:rsid w:val="008A4AC6"/>
    <w:rsid w:val="009161D6"/>
    <w:rsid w:val="00934C6F"/>
    <w:rsid w:val="009A4FDE"/>
    <w:rsid w:val="009C510A"/>
    <w:rsid w:val="00A16C66"/>
    <w:rsid w:val="00A720A0"/>
    <w:rsid w:val="00B43D95"/>
    <w:rsid w:val="00D26344"/>
    <w:rsid w:val="00DF407F"/>
    <w:rsid w:val="00F953E8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872131-1C2C-4414-9651-3234500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dcterms:created xsi:type="dcterms:W3CDTF">2014-03-20T09:35:00Z</dcterms:created>
  <dcterms:modified xsi:type="dcterms:W3CDTF">2014-03-20T09:35:00Z</dcterms:modified>
</cp:coreProperties>
</file>