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7CB" w:rsidRDefault="003067C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Пестициды группы хлорфеноксикарбоновых кислот.</w:t>
      </w:r>
    </w:p>
    <w:p w:rsidR="003067CB" w:rsidRDefault="003067C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Анализ в водных объектах методом капиллярного электрофореза.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Н.В. Комарова</w:t>
      </w:r>
      <w:r>
        <w:rPr>
          <w:color w:val="000000"/>
          <w:sz w:val="24"/>
          <w:szCs w:val="24"/>
        </w:rPr>
        <w:t> , А.А. Карцова</w:t>
      </w:r>
      <w:r>
        <w:rPr>
          <w:color w:val="000000"/>
          <w:sz w:val="24"/>
          <w:szCs w:val="24"/>
        </w:rPr>
        <w:t xml:space="preserve"> </w:t>
      </w:r>
      <w:r>
        <w:rPr>
          <w:color w:val="000000"/>
          <w:sz w:val="24"/>
          <w:szCs w:val="24"/>
        </w:rPr>
        <w:t xml:space="preserve"> 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пестицидов было и остается одним из основных путей интенсификации сельскохозяйственного производства. Однако, будучи чужеродными химическими веществами, вносимыми в окружающую среду, пестициды могут представлять собой известную опасность для природы и человека. Многие пестициды способны длительно сохраняться в среде обитания людей, попадая из одного объекта среды в другой и превращаясь в более токсичные соединения. Согласно мировой экологической статистике пестициды входят в группу экотоксикантов, составляющих так называемую "грязную дюжину" [1].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гербицидов наибольшее распространение получили хлорфеноксикарбоновые кислоты (ФКК) и их производные. Ввиду отсутствия приемлемых альтернативных способов борьбы с сорняками производство и потребление пестицидов этой группы продолжает возрастать. Общая формула для соединений группы хлорфеноксикарбоновых кислот</w:t>
      </w:r>
    </w:p>
    <w:p w:rsidR="003067CB" w:rsidRDefault="00E564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56.25pt">
            <v:imagedata r:id="rId5" o:title="fkk1"/>
          </v:shape>
        </w:pic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Известно влияние заместителей R1 и R2 на гербицидную активность этих соединений. В общем случае возрастание активности происходит при R=Hal, причем максимум гербицидной активности наблюдается при наличии в бензольном кольце двух атомов хлора, при дальнейшем росте числа атомов Hal гербицидная активность снижается. Таким образом, соединения группы 2,4-дихлорфеноксикарбоновых кислот являются самыми активными гербицидами и, следовательно, наиболее широко используются. Активному распространению соединений группы 2,4-Д способствует также наличие у отдельных ее представителей (2,4-Д, 2,4-ДМ, 2М-4ХП) гормональных свойств: применение препаратов, содержащих указанные гербициды, ведет к интенсификации биосинтеза белка, стимулированию корнеобразования и ускорению дозревания плодов [2].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распространенные пестициды группы ФКК и их ПДК в водных объектах представлены в табл.1.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1. Перечень наиболее распространенных пестицидов группы ФКК и их ПДК в объектах окружающей среды.</w:t>
      </w:r>
    </w:p>
    <w:tbl>
      <w:tblPr>
        <w:tblW w:w="4750" w:type="pct"/>
        <w:tblCellSpacing w:w="0" w:type="dxa"/>
        <w:tblInd w:w="9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3"/>
        <w:gridCol w:w="2314"/>
        <w:gridCol w:w="2499"/>
      </w:tblGrid>
      <w:tr w:rsidR="003067CB" w:rsidRPr="003067CB">
        <w:trPr>
          <w:trHeight w:val="570"/>
          <w:tblCellSpacing w:w="0" w:type="dxa"/>
        </w:trPr>
        <w:tc>
          <w:tcPr>
            <w:tcW w:w="2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Синоним или краткое обозначение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ПДК, мг/л </w:t>
            </w:r>
          </w:p>
        </w:tc>
      </w:tr>
      <w:tr w:rsidR="003067CB" w:rsidRPr="003067CB">
        <w:trPr>
          <w:trHeight w:val="375"/>
          <w:tblCellSpacing w:w="0" w:type="dxa"/>
        </w:trPr>
        <w:tc>
          <w:tcPr>
            <w:tcW w:w="2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Кислота феноксиуксусная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ФУК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1 (питьевая вода) </w:t>
            </w:r>
          </w:p>
        </w:tc>
      </w:tr>
      <w:tr w:rsidR="003067CB" w:rsidRPr="003067CB">
        <w:trPr>
          <w:trHeight w:val="660"/>
          <w:tblCellSpacing w:w="0" w:type="dxa"/>
        </w:trPr>
        <w:tc>
          <w:tcPr>
            <w:tcW w:w="2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Кислота 2,4-дихлорфеноксиуксусная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2,4-Д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>0,03 (питьевая вода)</w:t>
            </w:r>
          </w:p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1 (природная) </w:t>
            </w:r>
          </w:p>
        </w:tc>
      </w:tr>
      <w:tr w:rsidR="003067CB" w:rsidRPr="003067CB">
        <w:trPr>
          <w:trHeight w:val="960"/>
          <w:tblCellSpacing w:w="0" w:type="dxa"/>
        </w:trPr>
        <w:tc>
          <w:tcPr>
            <w:tcW w:w="2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Кислота 2-метил-4 хлорфеноксиуксусная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2М-4Х, МСРА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>0,02 (воды рыбохоз. водоемов)</w:t>
            </w:r>
          </w:p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0,04 (сан-быт.) </w:t>
            </w:r>
          </w:p>
        </w:tc>
      </w:tr>
      <w:tr w:rsidR="003067CB" w:rsidRPr="003067CB">
        <w:trPr>
          <w:trHeight w:val="555"/>
          <w:tblCellSpacing w:w="0" w:type="dxa"/>
        </w:trPr>
        <w:tc>
          <w:tcPr>
            <w:tcW w:w="2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Кислота 2,4,5-трихлорфеноксиуксусная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2,4,5-Т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Запрещена к применению! </w:t>
            </w:r>
          </w:p>
        </w:tc>
      </w:tr>
      <w:tr w:rsidR="003067CB" w:rsidRPr="003067CB">
        <w:trPr>
          <w:trHeight w:val="570"/>
          <w:tblCellSpacing w:w="0" w:type="dxa"/>
        </w:trPr>
        <w:tc>
          <w:tcPr>
            <w:tcW w:w="2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>Кислота 2,4-дихлорфенокси-</w:t>
            </w:r>
            <w:r w:rsidRPr="003067CB">
              <w:rPr>
                <w:color w:val="000000"/>
                <w:sz w:val="24"/>
                <w:szCs w:val="24"/>
              </w:rPr>
              <w:t xml:space="preserve">-пропионовая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Дихлорпроп, 2,4-ДР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>0,5 (питьевая)</w:t>
            </w:r>
          </w:p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0,62 (природная) </w:t>
            </w:r>
          </w:p>
        </w:tc>
      </w:tr>
      <w:tr w:rsidR="003067CB" w:rsidRPr="003067CB">
        <w:trPr>
          <w:tblCellSpacing w:w="0" w:type="dxa"/>
        </w:trPr>
        <w:tc>
          <w:tcPr>
            <w:tcW w:w="2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>Кислота 2-метил-4-хлорфенокси-</w:t>
            </w:r>
            <w:r w:rsidRPr="003067CB">
              <w:rPr>
                <w:color w:val="000000"/>
                <w:sz w:val="24"/>
                <w:szCs w:val="24"/>
              </w:rPr>
              <w:t xml:space="preserve">-пропионовая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Мекопроп, 2М-4ХП, МСРР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---- </w:t>
            </w:r>
          </w:p>
        </w:tc>
      </w:tr>
      <w:tr w:rsidR="003067CB" w:rsidRPr="003067CB">
        <w:trPr>
          <w:tblCellSpacing w:w="0" w:type="dxa"/>
        </w:trPr>
        <w:tc>
          <w:tcPr>
            <w:tcW w:w="2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>Кислота 2,4,5-трихлорфенокси-</w:t>
            </w:r>
            <w:r w:rsidRPr="003067CB">
              <w:rPr>
                <w:color w:val="000000"/>
                <w:sz w:val="24"/>
                <w:szCs w:val="24"/>
              </w:rPr>
              <w:t xml:space="preserve">-пропионовая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2,4,5-ТР, Silvex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---- </w:t>
            </w:r>
          </w:p>
        </w:tc>
      </w:tr>
      <w:tr w:rsidR="003067CB" w:rsidRPr="003067CB">
        <w:trPr>
          <w:trHeight w:val="465"/>
          <w:tblCellSpacing w:w="0" w:type="dxa"/>
        </w:trPr>
        <w:tc>
          <w:tcPr>
            <w:tcW w:w="24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>Кислота 2,4-дихлорфенокси-</w:t>
            </w:r>
            <w:r w:rsidRPr="003067CB">
              <w:rPr>
                <w:color w:val="000000"/>
                <w:sz w:val="24"/>
                <w:szCs w:val="24"/>
              </w:rPr>
              <w:t xml:space="preserve">-масляная 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2,4-ДВ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0,01 (питьевая) </w:t>
            </w:r>
          </w:p>
        </w:tc>
      </w:tr>
    </w:tbl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народном хозяйстве представители ФКК применяются в качестве гербицидов (для борьбы с сорняками), арборицидов (для уничтожения малоценных пород кустарников), альгицидов (для уничтожения водных растений при зарастании водоемов). Попадая в различные объекты окружающей среды, пестициды накапливаются в них либо включаются в различные миграционные цепи (рис. 1). При этом в каждом из объектов окружающей среды пестициды подвергаются всевозможным процессам разложения. ФКК характеризуются сравнительно низкой персистентностью- способностью сохраняться какое-либо время в окружающей среде, не теряя своей биологической активности, и, например, в почве подвержены каталитическим процессам разложения с участием микроорганизмов и ферментов: деалкилированию, дегалогенированию, гидролизу, разрыву кольца и т.д. с образованием в конечном итоге 2,4-Д и 2,4-ДХФ (2,4-дихлорфенола), более стабильных, чем исходные соединения. Обладая хорошей растворимостью в воде, продукты разложения вымываются из почвы и поступают в грунтовые воды, а затем в открытые водные объекты.</w:t>
      </w:r>
    </w:p>
    <w:p w:rsidR="003067CB" w:rsidRDefault="00E564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6" type="#_x0000_t75" style="width:285pt;height:153pt">
            <v:imagedata r:id="rId6" o:title="fkk2"/>
          </v:shape>
        </w:pic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Рис.1 Накопление и миграция остаточных количеств пестицидов в окружающей среде.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в водные объекты ФКК могут поступать как при непосредственном внесении ядохимикатов в водоемы (в качестве альгицидов), так и со стоками химических и родственных производств. В водных объектах ФКК также претерпевают разложение до 2,4-Д и 2,4-ДХФ [3].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Стабильность 2,4-Д в различных объектах отражена в табл.2 и зависит как от физико-химических свойств вещества, так и биологической природы среды, температуры, влажности, УФ-радиации и т.д. 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 Стабильность 2,4-дихлорфеноксиуксусной кислоты в объектах окружающей среды.</w:t>
      </w:r>
    </w:p>
    <w:tbl>
      <w:tblPr>
        <w:tblW w:w="2450" w:type="pct"/>
        <w:tblCellSpacing w:w="0" w:type="dxa"/>
        <w:tblInd w:w="9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2530"/>
      </w:tblGrid>
      <w:tr w:rsidR="003067CB" w:rsidRPr="003067CB">
        <w:trPr>
          <w:trHeight w:val="615"/>
          <w:tblCellSpacing w:w="0" w:type="dxa"/>
        </w:trPr>
        <w:tc>
          <w:tcPr>
            <w:tcW w:w="2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Объект среды 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Максимальная стабильность препарата, сутки </w:t>
            </w:r>
          </w:p>
        </w:tc>
      </w:tr>
      <w:tr w:rsidR="003067CB" w:rsidRPr="003067CB">
        <w:trPr>
          <w:trHeight w:val="540"/>
          <w:tblCellSpacing w:w="0" w:type="dxa"/>
        </w:trPr>
        <w:tc>
          <w:tcPr>
            <w:tcW w:w="2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Почва 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300-500 </w:t>
            </w:r>
          </w:p>
        </w:tc>
      </w:tr>
      <w:tr w:rsidR="003067CB" w:rsidRPr="003067CB">
        <w:trPr>
          <w:trHeight w:val="555"/>
          <w:tblCellSpacing w:w="0" w:type="dxa"/>
        </w:trPr>
        <w:tc>
          <w:tcPr>
            <w:tcW w:w="2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Растительные материалы 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120-180 </w:t>
            </w:r>
          </w:p>
        </w:tc>
      </w:tr>
      <w:tr w:rsidR="003067CB" w:rsidRPr="003067CB">
        <w:trPr>
          <w:trHeight w:val="555"/>
          <w:tblCellSpacing w:w="0" w:type="dxa"/>
        </w:trPr>
        <w:tc>
          <w:tcPr>
            <w:tcW w:w="2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Водные организмы 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100-150 </w:t>
            </w:r>
          </w:p>
        </w:tc>
      </w:tr>
      <w:tr w:rsidR="003067CB" w:rsidRPr="003067CB">
        <w:trPr>
          <w:trHeight w:val="540"/>
          <w:tblCellSpacing w:w="0" w:type="dxa"/>
        </w:trPr>
        <w:tc>
          <w:tcPr>
            <w:tcW w:w="23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Водная среда </w:t>
            </w:r>
          </w:p>
        </w:tc>
        <w:tc>
          <w:tcPr>
            <w:tcW w:w="2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3067CB" w:rsidRPr="003067CB" w:rsidRDefault="003067CB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3067CB">
              <w:rPr>
                <w:color w:val="000000"/>
                <w:sz w:val="24"/>
                <w:szCs w:val="24"/>
              </w:rPr>
              <w:t xml:space="preserve">120 </w:t>
            </w:r>
          </w:p>
        </w:tc>
      </w:tr>
    </w:tbl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распределении 2,4-Д в водных объектах имеются противоречивые данные. Учитывая коэффициенты распределения пестицида между отдельными компонентами биосферы, в [4] было показано, что наибольшая доля 2,4-Д накапливается в воде (93,8 %), а в [3] продемонстрировано распределение 2,4-Д при поступлении в воду: основная доля (60%) метаболизируется в растительном материале в виде конъюгатов, незначительная часть (5-10%) адсорбируется донными осадками, песком и 30% остается в воде.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Экологическая безопасность пестицидов связана с их избирательностью, а также большей или меньшей персистентностью. Класс ФКК относится к среднетоксичным соединениям, значительно уступая по токсичности, например, группе хлорорганических пестицидов. Тем не менее ряд представителей ФКК обладают отдаленным токсическим действием: так у 2,4,5-Т выражено эмбриотропное действие и этот препарат запрещен к применению в России.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Будучи ксенобиотиками, вносимыми в окружающую среду, пестициды представляют собой несомненную опасность для природы и человека. Важную роль в предотвращении негативных последствий применения пестицидов играет контроль за содержанием их токсических остатков в объектах окружающей среды, растениеводческой продукции, кормах и продуктах питания. Наиболее широко для анализа пестицидов класса ФКК используют физико-химические методы и в первую очередь ГЖХ и ВЭЖХ, отличающиеся высокой селективностью и чувствительностью определения ФКК [5,6,7,8]. Однако, кроме вышеуказанных достоинств методики имеют ряд недостатков. Так, например, используемые в ГЖХ-варианте дериватизирующие агенты представляют собой высокотоксичные соединения, а в ВЭЖХ-варианте известно мешающее влияние гуминовых кислот и связанные с этим дрейф базовой линии, трудности при идентификации и количественном определении. Кроме того, оба хроматографических метода анализа характеризуются сложностью аппаратурного оформления.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гораздо меньшей степени для аналитического контроля различных объектов на содержание пестицидов используют фотометрические, электрохимические, иммуноферментные методы и методы биоиндикации [5,9]. Большинство указанных методов характеризуются длительностью пробоподготовки, использованием большого количества (и объемов) реактивов, некоторые требуют наличия дорогих специфических реагентов.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Относительно новым, экспрессным и достаточно чувствительным методом анализа пестицидов является капиллярный электрофорез [10]. ФКК в нейтральных и щелочных растворах диссоциируют с образованием органических анионов. Этот факт определяет самый простой вариант их анализа методом капиллярного электрофореза </w:t>
      </w:r>
      <w:r>
        <w:rPr>
          <w:color w:val="000000"/>
          <w:sz w:val="24"/>
          <w:szCs w:val="24"/>
        </w:rPr>
        <w:t> так называемый зонный электрофорез, при котором компоненты пробы, введеной с входного конца кварцевого капилляра, разделяются в электрическом поле за счет их различных подвижностей и детектируются в виде дискретных зон индивидуальных компонентов. Необходимо отметить важность разделения и последующего определения не только самих ФКК, но и продуктов их деструкции, многие из которых также оказывают токсическое воздействие на окружающую среду и человека. Для ФКК таким сопутствующим компонентом является 2,4-дихлорфенол (2,4-ДХФ).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разделительной системы выбрана смесь приоритетных гербицидов (кислоты: феноксиуксусная, 2,4-дихлорфеноксиуксусная (2,4-Д), 2,4,5-трихлорфеноксиуксусная, 2,4-дихлорфенокси-</w:t>
      </w:r>
      <w:r>
        <w:rPr>
          <w:color w:val="000000"/>
          <w:sz w:val="24"/>
          <w:szCs w:val="24"/>
        </w:rPr>
        <w:t> -пропионовая и 2,4-дихлорфенокси-</w:t>
      </w:r>
      <w:r>
        <w:rPr>
          <w:color w:val="000000"/>
          <w:sz w:val="24"/>
          <w:szCs w:val="24"/>
        </w:rPr>
        <w:t> -масляная) и конечного продукта их разложения (2,4-дихлорфенол). Все компоненты обладают заметным поглощением в УФ-области. Работа выполнялась на приборе "Капель-103" (НПФ АП "Люмэкс"), с кадмиевой лампой (</w:t>
      </w:r>
      <w:r>
        <w:rPr>
          <w:color w:val="000000"/>
          <w:sz w:val="24"/>
          <w:szCs w:val="24"/>
        </w:rPr>
        <w:t xml:space="preserve"> </w:t>
      </w:r>
      <w:r>
        <w:rPr>
          <w:color w:val="000000"/>
          <w:sz w:val="24"/>
          <w:szCs w:val="24"/>
          <w:vertAlign w:val="subscript"/>
        </w:rPr>
        <w:t>раб</w:t>
      </w:r>
      <w:r>
        <w:rPr>
          <w:color w:val="000000"/>
          <w:sz w:val="24"/>
          <w:szCs w:val="24"/>
        </w:rPr>
        <w:t xml:space="preserve"> 228,8 нм); длина используемого кварцевого капилляра 65 см (эффективная длина- 55 см); внутренний диаметр капилляра 75 мкм.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Оптимизировались следующие условия разделения ФКК методом зонного электрофореза: 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Выбор ведущего электролита, оптимизация концентрации и рН. 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Ввод пробы (гидродинамический, электрокинетический), оптимизация времени ввода для гидродинамического способа. Оценка способа ввода с выходного конца капилляра. 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Рабочее напряжение. 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Полярность прибора. 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Температура. 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Оптимальными признаны следующие условия разделения: гидродинамический ввод-30 мбар</w:t>
      </w:r>
      <w:r>
        <w:rPr>
          <w:color w:val="000000"/>
          <w:sz w:val="24"/>
          <w:szCs w:val="24"/>
        </w:rPr>
        <w:t> 30 сек; ведущий электролит- тетраборат натрия с концентрацией 10 мМ, рН 9,18; рабочее напряжение +20 кВ. В оптимальных условиях проведено разделение смеси гербицидов (рис.2). Показано, что разделение происходит в течение двух минут (при общем времени анализа 9 мин).</w:t>
      </w:r>
    </w:p>
    <w:p w:rsidR="003067CB" w:rsidRDefault="00E564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7" type="#_x0000_t75" style="width:262.5pt;height:171.75pt">
            <v:imagedata r:id="rId7" o:title="fkk3"/>
          </v:shape>
        </w:pic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Рис.2. Электрофореграмма смеси пестицидов группы ФКК и 2,4-дихлорфенола. Система капиллярного электрофореза "КАПЕЛЬ-103" (НПФ АП "ЛЮМЭКС", г. Санкт-Петербург), ведущий электролит: 10 мМ тетраборат натрия, рН=9,18; ввод пробы: 30 мбар</w:t>
      </w:r>
      <w:r>
        <w:rPr>
          <w:color w:val="000000"/>
          <w:sz w:val="24"/>
          <w:szCs w:val="24"/>
        </w:rPr>
        <w:t> 30 сек; капилляр: 65 см</w:t>
      </w:r>
      <w:r>
        <w:rPr>
          <w:color w:val="000000"/>
          <w:sz w:val="24"/>
          <w:szCs w:val="24"/>
        </w:rPr>
        <w:t> 75 мкм; напряжение: +20 кВ; детектирование: УФ, 228,8 нм. Состав анализируемой смеси (в скобках указана концентрация компонента в анализируемом растворе, мг/л): 2,4-ДВ (2.5), 2,4-ДР (2.0), 2,4,5-Т (2.0), 2,4-Д (2.0), 2,4-ДХФ (1.6), ФУК (2.0). Сбор и обработка данных- с помощью ПО "МультиХром" (фирма "Амперсенд", г. Москва).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рис.3 представлен градуировочный график для 2,4-Д. Диапазон измеряемых концентраций 0,2</w:t>
      </w:r>
      <w:r>
        <w:rPr>
          <w:color w:val="000000"/>
          <w:sz w:val="24"/>
          <w:szCs w:val="24"/>
        </w:rPr>
        <w:t> 20 мг/л. Для водных объектов пробоподготовка заключается в фильтровании образца, его разбавлении буферным раствором и центрифугировании полученной смеси.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Используя предварительное концентрирование пробы (твердофазную экстракцию или жидкостно-жидкостную экстракцию), можно существенно снизить предел обнаружения каждого компонента.</w:t>
      </w:r>
    </w:p>
    <w:p w:rsidR="003067CB" w:rsidRDefault="00E564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8" type="#_x0000_t75" style="width:270pt;height:155.25pt">
            <v:imagedata r:id="rId8" o:title="fkk4"/>
          </v:shape>
        </w:pic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 3. Градуировочный график для определения концентрации 2,4-Д.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Главными достоинствами метода капиллярного электрофореза являются его высочайшая эффективность разделения (на несколько порядков превышающая эффективность газовой и жидкостной хроматографии), экспрессность анализа и его простота, малый расход реактивов. Повышение селективности разделения ФКК возможно при переходе к мицеллярному варианту капиллярного электрофореза - так называемой мицеллярной электрокинетической хроматографии, а также при добавлении в ведущий электролит макроциклических реагентов (циклодекстрины, краун-эфиры, криптанды).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капиллярный электрофорез является новым инструментальным методом анализа пестицидов. Тем не менее совершенствование процедур пробоподготовки (при переходе к почвам и пищевым продуктам) и оптимизация всего анализа в целом остаются актуальной задачей.</w:t>
      </w:r>
    </w:p>
    <w:p w:rsidR="003067CB" w:rsidRDefault="003067C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Тинсли И. Поведение химических загрязнителей в окружающей среде./ Пер. с англ. М.: Мир, 1992. 281с. 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Лунев М.И. Пестициды и охрана агрофитоценозов. М.: Колос, 1992. 269с. 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Федорова Л.М., Белова Р.С. Производные хлорфеноксиуксусных кислот и охрана окружающей среды. Саратов: СГУ, 1983. 124с. 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Прогнозирование поведения пестицидов в окружающей среде. Тр. Сов.-амер. симпоз. Ереван, октябрь 1981. Л.: Гидрометеоиздат, 1984. 306с. 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Методы определения микроколичеств пестицидов в продуктах питания, кормах и внешней среде. М.: Колос, 1977. 215с. 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Методы определения микроколичеств пестицидов в продуктах питания, кормах и внешней среде. М.: Колос, 1983. 297с. 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Методика выполнения измерений массовой концентрации 2,4-Д, симазина, атразина в питьевой воде, воде водоемов и водоисточников методом ВЭЖХ. Уфа, РБ.АП-31/96. 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Hogendoorn E.A., Dijkman E., Bauman B. Anal.Chem. 1999, 71, 1111-1118. 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Еремин С.А., Ефимова Ю.А., Лаасис Б., Арон Ж.-Ж. Агрохимия, 2, 1996, 102-106. </w:t>
      </w:r>
    </w:p>
    <w:p w:rsidR="003067CB" w:rsidRDefault="003067C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Penmetsa K.V., Leidy R.B., Shea D. J. Chromatogr. </w:t>
      </w:r>
      <w:r>
        <w:rPr>
          <w:color w:val="000000"/>
          <w:sz w:val="24"/>
          <w:szCs w:val="24"/>
        </w:rPr>
        <w:t>A, 745 (1996) 201-208.</w:t>
      </w:r>
      <w:bookmarkStart w:id="0" w:name="_GoBack"/>
      <w:bookmarkEnd w:id="0"/>
    </w:p>
    <w:sectPr w:rsidR="003067C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B6D"/>
    <w:multiLevelType w:val="hybridMultilevel"/>
    <w:tmpl w:val="8C7005BE"/>
    <w:lvl w:ilvl="0" w:tplc="A726C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1F451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F1FE411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0D10A0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27F0761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166219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7AE629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062C456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22AC789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3E64449"/>
    <w:multiLevelType w:val="hybridMultilevel"/>
    <w:tmpl w:val="CC02FBB2"/>
    <w:lvl w:ilvl="0" w:tplc="81726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72DD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267E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4E5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DC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042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9E1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4DB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DEA1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92752"/>
    <w:multiLevelType w:val="hybridMultilevel"/>
    <w:tmpl w:val="56906556"/>
    <w:lvl w:ilvl="0" w:tplc="2C923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6E4FD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2C492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99526B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94481C1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61F8EE9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43C41F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397A81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429CB94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33DE102B"/>
    <w:multiLevelType w:val="hybridMultilevel"/>
    <w:tmpl w:val="D9A2CC52"/>
    <w:lvl w:ilvl="0" w:tplc="0144F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D2474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D6B466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6BCCF4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56EE482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1BEEB80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A6BAB7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C19C02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830E41E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3D506090"/>
    <w:multiLevelType w:val="hybridMultilevel"/>
    <w:tmpl w:val="5C0E0784"/>
    <w:lvl w:ilvl="0" w:tplc="98FA2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D25C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C14E56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CFAA45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3D34442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4CD4F7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2BEC63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0E5664C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18027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3D703750"/>
    <w:multiLevelType w:val="hybridMultilevel"/>
    <w:tmpl w:val="5B6257FA"/>
    <w:lvl w:ilvl="0" w:tplc="87C89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D43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40FED1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803859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871843F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39ACE84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04244D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723CD6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2B34F0F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426E38AC"/>
    <w:multiLevelType w:val="hybridMultilevel"/>
    <w:tmpl w:val="AE103236"/>
    <w:lvl w:ilvl="0" w:tplc="CAA46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EBEA8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3844F9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1BB8C2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5A2246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26C01C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4E987A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B504D3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A9AA4DF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47802C97"/>
    <w:multiLevelType w:val="hybridMultilevel"/>
    <w:tmpl w:val="945E5E24"/>
    <w:lvl w:ilvl="0" w:tplc="EBA4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42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4C7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08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C0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F074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CE2B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EA1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284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70271"/>
    <w:multiLevelType w:val="hybridMultilevel"/>
    <w:tmpl w:val="8CE6BE70"/>
    <w:lvl w:ilvl="0" w:tplc="761ED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BC5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435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EEC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892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74BC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A0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05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E68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07CE1"/>
    <w:multiLevelType w:val="hybridMultilevel"/>
    <w:tmpl w:val="3F76036E"/>
    <w:lvl w:ilvl="0" w:tplc="E42AD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A4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8B7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4C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2E3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DA55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2AD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AF1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CA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A34A5"/>
    <w:multiLevelType w:val="hybridMultilevel"/>
    <w:tmpl w:val="B6208992"/>
    <w:lvl w:ilvl="0" w:tplc="13D06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84283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B262D6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7DBC2B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282EBC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D6B0A6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B91CFC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EE468C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FE00DF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5FAB778D"/>
    <w:multiLevelType w:val="hybridMultilevel"/>
    <w:tmpl w:val="6D9A4B56"/>
    <w:lvl w:ilvl="0" w:tplc="942C0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69ECC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1F2898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A27016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E63C0EF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EDDA75E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2730B3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EE4438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D604152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611231EC"/>
    <w:multiLevelType w:val="hybridMultilevel"/>
    <w:tmpl w:val="B32C1C0E"/>
    <w:lvl w:ilvl="0" w:tplc="BA2CC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2E11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1C30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F0A6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AB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EEA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C4D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C1F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ECFB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235B47"/>
    <w:multiLevelType w:val="hybridMultilevel"/>
    <w:tmpl w:val="F368A75C"/>
    <w:lvl w:ilvl="0" w:tplc="FADEA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67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E34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6F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E50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1EAD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3CC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D66D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4EF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0A5654"/>
    <w:multiLevelType w:val="hybridMultilevel"/>
    <w:tmpl w:val="4876283E"/>
    <w:lvl w:ilvl="0" w:tplc="4C2A6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E1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349F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CA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4A2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0CFB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8E1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237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3A96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CC3F2D"/>
    <w:multiLevelType w:val="hybridMultilevel"/>
    <w:tmpl w:val="D4CEA4B6"/>
    <w:lvl w:ilvl="0" w:tplc="56EE3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8A0A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DC24DF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019615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EB5A70B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5882F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E8E2BE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E280C9A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06E4CB7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7B9B3456"/>
    <w:multiLevelType w:val="hybridMultilevel"/>
    <w:tmpl w:val="F578996A"/>
    <w:lvl w:ilvl="0" w:tplc="E7183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02A5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E9E32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B5B0A1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FE8014D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DFBE38F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BB229D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8BB62EE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CD4EA3F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>
    <w:nsid w:val="7C4B2C72"/>
    <w:multiLevelType w:val="hybridMultilevel"/>
    <w:tmpl w:val="9EBAAE44"/>
    <w:lvl w:ilvl="0" w:tplc="D128A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047B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61880A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F664F9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29D662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B93481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1FA2E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1ABE6B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1736CC6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7E4E3A55"/>
    <w:multiLevelType w:val="hybridMultilevel"/>
    <w:tmpl w:val="34D89908"/>
    <w:lvl w:ilvl="0" w:tplc="679EB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782E5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F702A7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CD501B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9450253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7188EDF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3C5AD0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554E15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DD8E371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2"/>
    <w:lvlOverride w:ilvl="0">
      <w:lvl w:ilvl="0" w:tplc="BA2CC052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2">
    <w:abstractNumId w:val="6"/>
  </w:num>
  <w:num w:numId="3">
    <w:abstractNumId w:val="7"/>
    <w:lvlOverride w:ilvl="0">
      <w:lvl w:ilvl="0" w:tplc="EBA4875E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4">
    <w:abstractNumId w:val="9"/>
    <w:lvlOverride w:ilvl="0">
      <w:lvl w:ilvl="0" w:tplc="E42AD7FC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5">
    <w:abstractNumId w:val="8"/>
    <w:lvlOverride w:ilvl="0">
      <w:lvl w:ilvl="0" w:tplc="761ED296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6">
    <w:abstractNumId w:val="16"/>
  </w:num>
  <w:num w:numId="7">
    <w:abstractNumId w:val="15"/>
  </w:num>
  <w:num w:numId="8">
    <w:abstractNumId w:val="3"/>
  </w:num>
  <w:num w:numId="9">
    <w:abstractNumId w:val="0"/>
  </w:num>
  <w:num w:numId="10">
    <w:abstractNumId w:val="17"/>
  </w:num>
  <w:num w:numId="11">
    <w:abstractNumId w:val="10"/>
  </w:num>
  <w:num w:numId="12">
    <w:abstractNumId w:val="5"/>
  </w:num>
  <w:num w:numId="13">
    <w:abstractNumId w:val="18"/>
  </w:num>
  <w:num w:numId="14">
    <w:abstractNumId w:val="14"/>
    <w:lvlOverride w:ilvl="0">
      <w:lvl w:ilvl="0" w:tplc="4C2A6B84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15">
    <w:abstractNumId w:val="1"/>
    <w:lvlOverride w:ilvl="0">
      <w:lvl w:ilvl="0" w:tplc="8172675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16">
    <w:abstractNumId w:val="4"/>
  </w:num>
  <w:num w:numId="17">
    <w:abstractNumId w:val="11"/>
  </w:num>
  <w:num w:numId="18">
    <w:abstractNumId w:val="13"/>
    <w:lvlOverride w:ilvl="0">
      <w:lvl w:ilvl="0" w:tplc="FADEA428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2A2"/>
    <w:rsid w:val="003067CB"/>
    <w:rsid w:val="003372A2"/>
    <w:rsid w:val="00991C51"/>
    <w:rsid w:val="00E5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8B514BC5-270B-4BF1-AB75-57C78C73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spacing w:val="6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ind w:firstLine="720"/>
      <w:jc w:val="both"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rPr>
      <w:rFonts w:ascii="Arial" w:hAnsi="Arial" w:cs="Arial"/>
      <w:color w:val="000000"/>
      <w:sz w:val="16"/>
      <w:szCs w:val="16"/>
      <w:u w:val="single"/>
    </w:rPr>
  </w:style>
  <w:style w:type="character" w:styleId="a5">
    <w:name w:val="Strong"/>
    <w:uiPriority w:val="99"/>
    <w:qFormat/>
    <w:rPr>
      <w:b/>
      <w:bCs/>
    </w:rPr>
  </w:style>
  <w:style w:type="paragraph" w:customStyle="1" w:styleId="nolink">
    <w:name w:val="nolink"/>
    <w:basedOn w:val="a"/>
    <w:uiPriority w:val="99"/>
    <w:pPr>
      <w:spacing w:before="100" w:beforeAutospacing="1"/>
    </w:pPr>
    <w:rPr>
      <w:b/>
      <w:bCs/>
      <w:sz w:val="16"/>
      <w:szCs w:val="16"/>
    </w:rPr>
  </w:style>
  <w:style w:type="character" w:customStyle="1" w:styleId="grame">
    <w:name w:val="grame"/>
    <w:uiPriority w:val="99"/>
  </w:style>
  <w:style w:type="paragraph" w:customStyle="1" w:styleId="cent">
    <w:name w:val="cent"/>
    <w:basedOn w:val="a"/>
    <w:uiPriority w:val="99"/>
    <w:pPr>
      <w:jc w:val="center"/>
    </w:pPr>
    <w:rPr>
      <w:rFonts w:ascii="Arial" w:hAnsi="Arial" w:cs="Arial"/>
      <w:sz w:val="24"/>
      <w:szCs w:val="24"/>
    </w:rPr>
  </w:style>
  <w:style w:type="paragraph" w:customStyle="1" w:styleId="down">
    <w:name w:val="down"/>
    <w:basedOn w:val="a"/>
    <w:uiPriority w:val="99"/>
    <w:pPr>
      <w:jc w:val="center"/>
    </w:pPr>
    <w:rPr>
      <w:rFonts w:ascii="Arial" w:hAnsi="Arial" w:cs="Arial"/>
      <w:b/>
      <w:bCs/>
      <w:spacing w:val="90"/>
    </w:rPr>
  </w:style>
  <w:style w:type="paragraph" w:customStyle="1" w:styleId="txttab">
    <w:name w:val="txttab"/>
    <w:basedOn w:val="a"/>
    <w:uiPriority w:val="99"/>
    <w:pPr>
      <w:ind w:firstLine="720"/>
    </w:pPr>
    <w:rPr>
      <w:rFonts w:ascii="Arial" w:hAnsi="Arial" w:cs="Arial"/>
      <w:sz w:val="24"/>
      <w:szCs w:val="24"/>
    </w:rPr>
  </w:style>
  <w:style w:type="character" w:styleId="a6">
    <w:name w:val="Emphasis"/>
    <w:uiPriority w:val="99"/>
    <w:qFormat/>
    <w:rPr>
      <w:i/>
      <w:iCs/>
    </w:rPr>
  </w:style>
  <w:style w:type="character" w:styleId="a7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7543</Words>
  <Characters>4300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Пестициды группы хлорфеноксикарбоновых кислот</vt:lpstr>
    </vt:vector>
  </TitlesOfParts>
  <Company>PERSONAL COMPUTERS</Company>
  <LinksUpToDate>false</LinksUpToDate>
  <CharactersWithSpaces>11820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Пестициды группы хлорфеноксикарбоновых кислот</dc:title>
  <dc:subject/>
  <dc:creator>USER</dc:creator>
  <cp:keywords/>
  <dc:description/>
  <cp:lastModifiedBy>admin</cp:lastModifiedBy>
  <cp:revision>2</cp:revision>
  <dcterms:created xsi:type="dcterms:W3CDTF">2014-01-26T12:59:00Z</dcterms:created>
  <dcterms:modified xsi:type="dcterms:W3CDTF">2014-01-26T12:59:00Z</dcterms:modified>
</cp:coreProperties>
</file>