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D4" w:rsidRPr="0083521F" w:rsidRDefault="00B63BD4" w:rsidP="00B63BD4">
      <w:pPr>
        <w:spacing w:before="120"/>
        <w:jc w:val="center"/>
        <w:rPr>
          <w:b/>
          <w:bCs/>
          <w:sz w:val="32"/>
          <w:szCs w:val="32"/>
        </w:rPr>
      </w:pPr>
      <w:r w:rsidRPr="0083521F">
        <w:rPr>
          <w:b/>
          <w:bCs/>
          <w:sz w:val="32"/>
          <w:szCs w:val="32"/>
        </w:rPr>
        <w:t>Планирование карьеры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>Под ред. Т.Ю.Базарова, Б.Л. Еремина</w:t>
      </w:r>
    </w:p>
    <w:p w:rsidR="00B63BD4" w:rsidRDefault="00B63BD4" w:rsidP="00B63BD4">
      <w:pPr>
        <w:spacing w:before="120"/>
        <w:ind w:firstLine="567"/>
        <w:jc w:val="both"/>
      </w:pPr>
      <w:r w:rsidRPr="00B369EA">
        <w:t xml:space="preserve">На реке это единственный способ заставить чайник вскипеть. </w:t>
      </w:r>
      <w:r>
        <w:t xml:space="preserve"> </w:t>
      </w:r>
      <w:r w:rsidRPr="00B369EA">
        <w:t xml:space="preserve">Если он заметит, что вы с нетерпением этого ожидаете, он даже не зашумит. </w:t>
      </w:r>
      <w:r>
        <w:t xml:space="preserve"> </w:t>
      </w:r>
      <w:r w:rsidRPr="00B369EA">
        <w:t xml:space="preserve">Вам лучше отойти подальше и начать есть, как будто вы вообще </w:t>
      </w:r>
      <w:r>
        <w:t xml:space="preserve"> </w:t>
      </w:r>
      <w:r w:rsidRPr="00B369EA">
        <w:t xml:space="preserve">не хотите чаю. На чайник не следует даже оглядываться. Тогда вы </w:t>
      </w:r>
      <w:r>
        <w:t xml:space="preserve"> </w:t>
      </w:r>
      <w:r w:rsidRPr="00B369EA">
        <w:t>скоро услышите, как он булькает, словно умоляя вас поскорее заварить чай.</w:t>
      </w:r>
      <w:r>
        <w:t xml:space="preserve"> </w:t>
      </w:r>
      <w:r w:rsidRPr="00B369EA">
        <w:t xml:space="preserve">Если вы очень торопитесь, то хорошо помогает громко говорить друг другу, </w:t>
      </w:r>
      <w:r>
        <w:t xml:space="preserve"> </w:t>
      </w:r>
      <w:r w:rsidRPr="00B369EA">
        <w:t xml:space="preserve">что вам совсем не хочется чая и что вы не будете его пить. </w:t>
      </w:r>
      <w:r>
        <w:t xml:space="preserve"> </w:t>
      </w:r>
      <w:r w:rsidRPr="00B369EA">
        <w:t xml:space="preserve">Вы подходите к чайнику, чтобы он мог вас услышать, и кричите: “Я не хочу чая! </w:t>
      </w:r>
      <w:r>
        <w:t xml:space="preserve"> </w:t>
      </w:r>
      <w:r w:rsidRPr="00B369EA">
        <w:t xml:space="preserve">А ты, Джордж?” И Джордж отвечает: “Нет, я не люблю чай, выпьем лучше лимонаду”. </w:t>
      </w:r>
      <w:r>
        <w:t xml:space="preserve">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Джером К. Джером. Трое в лодке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Карьера — это результат осознанной позиции и поведения человека в области трудовой деятельности, связанный с должностным или профессиональным ростом.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Карьеру — траекторию своего движения — человек строит сам, сообразуясь с особенностями внутри- и внеорганизационной реальности и главное — со своими собственными целями, желаниями и установками. </w:t>
      </w:r>
    </w:p>
    <w:p w:rsidR="00B63BD4" w:rsidRPr="0083521F" w:rsidRDefault="00B63BD4" w:rsidP="00B63BD4">
      <w:pPr>
        <w:spacing w:before="120"/>
        <w:jc w:val="center"/>
        <w:rPr>
          <w:b/>
          <w:bCs/>
          <w:sz w:val="28"/>
          <w:szCs w:val="28"/>
        </w:rPr>
      </w:pPr>
      <w:r w:rsidRPr="0083521F">
        <w:rPr>
          <w:b/>
          <w:bCs/>
          <w:sz w:val="28"/>
          <w:szCs w:val="28"/>
        </w:rPr>
        <w:t xml:space="preserve">Типы и этапы карьеры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Можно выделить несколько принципиальных траекторий движения человека в рамках профессии или организации, которые приведут к разным типам карьеры.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Профессиональная карьера — рост знаний, умений, навыков. Профессиональная карьера может идти по линии специализации (углубление в одной, выбранной в начале профессионального пути, линии движения) или транспрофессионализации (овладение другими областями человеческого опыта, связанное, скорее, с расширением инструментария и областей деятельности).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Внутриорганизационная карьера — связана с траекторией движения человека в организации. Она может идти по линии: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вертикальной карьеры — должностной рост;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горизонтальной карьеры — продвижение внутри организации, например работы в разных подразделениях одного уровня иерархии;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центростремительной карьеры — продвижение к ядру организации, центру управления, все более глубокое включение в процессы принятия решений.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Встречаясь с новым сотрудником, менеджер по персоналу должен учитывать этап карьеры, который он проходит в данный момент. Это может помочь уточнить цели профессиональной деятельности, степень динамичности и главное — специфику индивидуальной мотивации. Представим краткое описание этапов карьеры следующей таблицей: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6"/>
        <w:gridCol w:w="1924"/>
        <w:gridCol w:w="2829"/>
        <w:gridCol w:w="2469"/>
      </w:tblGrid>
      <w:tr w:rsidR="00B63BD4" w:rsidRPr="00B369EA" w:rsidTr="00A81C14">
        <w:trPr>
          <w:tblCellSpacing w:w="0" w:type="dxa"/>
        </w:trPr>
        <w:tc>
          <w:tcPr>
            <w:tcW w:w="1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Этап карьеры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Возрастной период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Default="00B63BD4" w:rsidP="00A81C14">
            <w:pPr>
              <w:jc w:val="both"/>
            </w:pPr>
            <w:r w:rsidRPr="00B369EA">
              <w:t xml:space="preserve">Краткая </w:t>
            </w:r>
          </w:p>
          <w:p w:rsidR="00B63BD4" w:rsidRPr="00B369EA" w:rsidRDefault="00B63BD4" w:rsidP="00A81C14">
            <w:pPr>
              <w:jc w:val="both"/>
            </w:pPr>
            <w:r w:rsidRPr="00B369EA">
              <w:t>характеристика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Default="00B63BD4" w:rsidP="00A81C14">
            <w:pPr>
              <w:jc w:val="both"/>
            </w:pPr>
            <w:r w:rsidRPr="00B369EA">
              <w:t xml:space="preserve">Особенности мотивации </w:t>
            </w:r>
          </w:p>
          <w:p w:rsidR="00B63BD4" w:rsidRPr="00B369EA" w:rsidRDefault="00B63BD4" w:rsidP="00A81C14">
            <w:pPr>
              <w:jc w:val="both"/>
            </w:pPr>
            <w:r w:rsidRPr="00B369EA">
              <w:t>(по Маслоу)</w:t>
            </w:r>
          </w:p>
        </w:tc>
      </w:tr>
      <w:tr w:rsidR="00B63BD4" w:rsidRPr="00B369EA" w:rsidTr="00A81C14">
        <w:trPr>
          <w:tblCellSpacing w:w="0" w:type="dxa"/>
        </w:trPr>
        <w:tc>
          <w:tcPr>
            <w:tcW w:w="1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Предварительный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До 25</w:t>
            </w:r>
            <w:r>
              <w:t xml:space="preserve"> </w:t>
            </w:r>
            <w:r w:rsidRPr="00B369EA">
              <w:t>лет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Подготовка к трудовой деятельности, выбор области деятельности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Безопасность, социальное признание</w:t>
            </w:r>
          </w:p>
        </w:tc>
      </w:tr>
      <w:tr w:rsidR="00B63BD4" w:rsidRPr="00B369EA" w:rsidTr="00A81C14">
        <w:trPr>
          <w:tblCellSpacing w:w="0" w:type="dxa"/>
        </w:trPr>
        <w:tc>
          <w:tcPr>
            <w:tcW w:w="1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Становление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До 30</w:t>
            </w:r>
            <w:r>
              <w:t xml:space="preserve"> </w:t>
            </w:r>
            <w:r w:rsidRPr="00B369EA">
              <w:t>лет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Освоение работы, развитие профессиональ-ных навыков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Социальное признание, независимость</w:t>
            </w:r>
          </w:p>
        </w:tc>
      </w:tr>
      <w:tr w:rsidR="00B63BD4" w:rsidRPr="00B369EA" w:rsidTr="00A81C14">
        <w:trPr>
          <w:tblCellSpacing w:w="0" w:type="dxa"/>
        </w:trPr>
        <w:tc>
          <w:tcPr>
            <w:tcW w:w="1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Продвижение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До 45</w:t>
            </w:r>
            <w:r>
              <w:t xml:space="preserve"> </w:t>
            </w:r>
            <w:r w:rsidRPr="00B369EA">
              <w:t>лет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Профессио-нальное развитие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Социальное признание, самореализация</w:t>
            </w:r>
          </w:p>
        </w:tc>
      </w:tr>
      <w:tr w:rsidR="00B63BD4" w:rsidRPr="00B369EA" w:rsidTr="00A81C14">
        <w:trPr>
          <w:tblCellSpacing w:w="0" w:type="dxa"/>
        </w:trPr>
        <w:tc>
          <w:tcPr>
            <w:tcW w:w="1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Завершение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После 60</w:t>
            </w:r>
            <w:r>
              <w:t xml:space="preserve"> </w:t>
            </w:r>
            <w:r w:rsidRPr="00B369EA">
              <w:t>лет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Подготовка к переходу на пенсию, поиск и обучение собственной смены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Удержание социального признания</w:t>
            </w:r>
          </w:p>
        </w:tc>
      </w:tr>
      <w:tr w:rsidR="00B63BD4" w:rsidRPr="00B369EA" w:rsidTr="00A81C14">
        <w:trPr>
          <w:tblCellSpacing w:w="0" w:type="dxa"/>
        </w:trPr>
        <w:tc>
          <w:tcPr>
            <w:tcW w:w="1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 xml:space="preserve">Пенсионный 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После 65</w:t>
            </w:r>
            <w:r>
              <w:t xml:space="preserve"> </w:t>
            </w:r>
            <w:r w:rsidRPr="00B369EA">
              <w:t>лет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Занятие другими видами деятельности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Поиск самовы-ражения в новой сфере деятельности</w:t>
            </w:r>
          </w:p>
        </w:tc>
      </w:tr>
    </w:tbl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Для оценки особенностей личности, оптимизации выбора сферы профессиональной деятельности в начале професионального пути важно учитывать тип личности человека, выбирающего область деятельности. Наиболее операциональной для данной цели считается типология личностей Дж. Голланда: </w:t>
      </w:r>
    </w:p>
    <w:tbl>
      <w:tblPr>
        <w:tblW w:w="5000" w:type="pct"/>
        <w:tblCellSpacing w:w="0" w:type="dxa"/>
        <w:tblInd w:w="-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92"/>
        <w:gridCol w:w="6736"/>
      </w:tblGrid>
      <w:tr w:rsidR="00B63BD4" w:rsidRPr="00B369EA" w:rsidTr="00A81C14">
        <w:trPr>
          <w:tblCellSpacing w:w="0" w:type="dxa"/>
        </w:trPr>
        <w:tc>
          <w:tcPr>
            <w:tcW w:w="15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Тип личности</w:t>
            </w:r>
          </w:p>
        </w:tc>
        <w:tc>
          <w:tcPr>
            <w:tcW w:w="3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Содержание деятельности</w:t>
            </w:r>
          </w:p>
        </w:tc>
      </w:tr>
      <w:tr w:rsidR="00B63BD4" w:rsidRPr="00B369EA" w:rsidTr="00A81C14">
        <w:trPr>
          <w:tblCellSpacing w:w="0" w:type="dxa"/>
        </w:trPr>
        <w:tc>
          <w:tcPr>
            <w:tcW w:w="15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Реалистический</w:t>
            </w:r>
          </w:p>
        </w:tc>
        <w:tc>
          <w:tcPr>
            <w:tcW w:w="3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Ориентация на манипулирование инструментами и механизмами</w:t>
            </w:r>
          </w:p>
        </w:tc>
      </w:tr>
      <w:tr w:rsidR="00B63BD4" w:rsidRPr="00B369EA" w:rsidTr="00A81C14">
        <w:trPr>
          <w:tblCellSpacing w:w="0" w:type="dxa"/>
        </w:trPr>
        <w:tc>
          <w:tcPr>
            <w:tcW w:w="15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Исследовательский</w:t>
            </w:r>
          </w:p>
        </w:tc>
        <w:tc>
          <w:tcPr>
            <w:tcW w:w="3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Ориентация на поиск</w:t>
            </w:r>
          </w:p>
        </w:tc>
      </w:tr>
      <w:tr w:rsidR="00B63BD4" w:rsidRPr="00B369EA" w:rsidTr="00A81C14">
        <w:trPr>
          <w:tblCellSpacing w:w="0" w:type="dxa"/>
        </w:trPr>
        <w:tc>
          <w:tcPr>
            <w:tcW w:w="15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Артистичный</w:t>
            </w:r>
          </w:p>
        </w:tc>
        <w:tc>
          <w:tcPr>
            <w:tcW w:w="3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Ориентация на эмоциональные проявления, самопрезентацию</w:t>
            </w:r>
          </w:p>
        </w:tc>
      </w:tr>
      <w:tr w:rsidR="00B63BD4" w:rsidRPr="00B369EA" w:rsidTr="00A81C14">
        <w:trPr>
          <w:tblCellSpacing w:w="0" w:type="dxa"/>
        </w:trPr>
        <w:tc>
          <w:tcPr>
            <w:tcW w:w="15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Социальный</w:t>
            </w:r>
          </w:p>
        </w:tc>
        <w:tc>
          <w:tcPr>
            <w:tcW w:w="3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Ориентация на взаимодействие с людьми</w:t>
            </w:r>
          </w:p>
        </w:tc>
      </w:tr>
      <w:tr w:rsidR="00B63BD4" w:rsidRPr="00B369EA" w:rsidTr="00A81C14">
        <w:trPr>
          <w:tblCellSpacing w:w="0" w:type="dxa"/>
        </w:trPr>
        <w:tc>
          <w:tcPr>
            <w:tcW w:w="15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Предпринимательский</w:t>
            </w:r>
          </w:p>
        </w:tc>
        <w:tc>
          <w:tcPr>
            <w:tcW w:w="3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Ориентация на влияние на людей</w:t>
            </w:r>
          </w:p>
        </w:tc>
      </w:tr>
      <w:tr w:rsidR="00B63BD4" w:rsidRPr="00B369EA" w:rsidTr="00A81C14">
        <w:trPr>
          <w:tblCellSpacing w:w="0" w:type="dxa"/>
        </w:trPr>
        <w:tc>
          <w:tcPr>
            <w:tcW w:w="15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 xml:space="preserve">Конвенциональный </w:t>
            </w:r>
          </w:p>
        </w:tc>
        <w:tc>
          <w:tcPr>
            <w:tcW w:w="3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Ориентация на манипулирование данными, информацией</w:t>
            </w:r>
          </w:p>
        </w:tc>
      </w:tr>
    </w:tbl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Выбор карьеры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Хотя по концепции Голланда один из типов всегда доминирует, человек может приспосабливаться к условиям, используя стратегии двух и более типов.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Чем ближе ориентации (секторы в круге) доминирующей и второй (третьей) ориентации, тем ближе типы личности. Учитывая содержание доминирующих и недоминирующих ориентаций, можно выбирать те виды деятельности, которые ближе человеку и в которых он будет более успешен. Если доминирующая и следующие ориентации далеки друг от друга, карьеру выбирать сложнее.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>Другой типологией, которая может быть использована в целях выбора карьеры, является типология Е.А.</w:t>
      </w:r>
      <w:r>
        <w:t xml:space="preserve"> </w:t>
      </w:r>
      <w:r w:rsidRPr="00B369EA">
        <w:t xml:space="preserve">Климова. Все виды деятельности разделены по предметам труда: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Тип П — “человек — природа”, если главный, ведущий предмет труда — растения, животные, микроорганизмы.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Тип Т — “человек — техника”, если главный, ведущий предмет труда — технические системы, вещественные объекты, материалы, виды энергии. </w:t>
      </w:r>
    </w:p>
    <w:p w:rsidR="00B63BD4" w:rsidRDefault="00D344E0" w:rsidP="00B63BD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98.75pt">
            <v:imagedata r:id="rId4" o:title=""/>
          </v:shape>
        </w:pic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>Рис. 8.3. Типология личностей Дж.</w:t>
      </w:r>
      <w:r>
        <w:t xml:space="preserve"> </w:t>
      </w:r>
      <w:r w:rsidRPr="00B369EA">
        <w:t xml:space="preserve">Голланда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Тип Ч — “человек — человек”, если главный, ведущий предмет труда — люди, группы, коллективы, общности людей.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Тип З — “человек — знак”, если главный, ведущий предмет труда — условные знаки, цифры, коды, естественные или искусственные языки.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Тип Х — “человек — художественный образ”, если главный, ведущий предмет труда — художественные образы, условия их построения.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Менеджер по персоналу, как правило, сталкивается с уже определившимся профессионалом, однако важно знать, как человек сделал свой выбор. Можно выделить следующие основные ситуации выбора профессии: </w:t>
      </w:r>
    </w:p>
    <w:tbl>
      <w:tblPr>
        <w:tblW w:w="5000" w:type="pct"/>
        <w:tblCellSpacing w:w="0" w:type="dxa"/>
        <w:tblInd w:w="-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2"/>
        <w:gridCol w:w="7916"/>
      </w:tblGrid>
      <w:tr w:rsidR="00B63BD4" w:rsidRPr="00B369EA" w:rsidTr="00A81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spacing w:before="120"/>
              <w:ind w:firstLine="567"/>
              <w:jc w:val="both"/>
            </w:pPr>
            <w:r w:rsidRPr="00B369EA">
              <w:t>Традиция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spacing w:before="120"/>
              <w:ind w:firstLine="567"/>
              <w:jc w:val="both"/>
            </w:pPr>
            <w:r w:rsidRPr="00B369EA">
              <w:t>Вопрос о выборе не возникал в силу традиции, обычаев</w:t>
            </w:r>
          </w:p>
        </w:tc>
      </w:tr>
      <w:tr w:rsidR="00B63BD4" w:rsidRPr="00B369EA" w:rsidTr="00A81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spacing w:before="120"/>
              <w:ind w:firstLine="567"/>
              <w:jc w:val="both"/>
            </w:pPr>
            <w:r w:rsidRPr="00B369EA">
              <w:t>Случай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spacing w:before="120"/>
              <w:ind w:firstLine="567"/>
              <w:jc w:val="both"/>
            </w:pPr>
            <w:r w:rsidRPr="00B369EA">
              <w:t>Выбор произошел случайно в силу некоего события</w:t>
            </w:r>
          </w:p>
        </w:tc>
      </w:tr>
      <w:tr w:rsidR="00B63BD4" w:rsidRPr="00B369EA" w:rsidTr="00A81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spacing w:before="120"/>
              <w:ind w:firstLine="567"/>
              <w:jc w:val="both"/>
            </w:pPr>
            <w:r w:rsidRPr="00B369EA">
              <w:t>Долг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spacing w:before="120"/>
              <w:ind w:firstLine="567"/>
              <w:jc w:val="both"/>
            </w:pPr>
            <w:r w:rsidRPr="00B369EA">
              <w:t>Выбор профессии связан с представлением о долге, о своей миссии, призвании или обязательствах перед людьми</w:t>
            </w:r>
          </w:p>
        </w:tc>
      </w:tr>
      <w:tr w:rsidR="00B63BD4" w:rsidRPr="00B369EA" w:rsidTr="00A81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spacing w:before="120"/>
              <w:ind w:firstLine="567"/>
              <w:jc w:val="both"/>
            </w:pPr>
            <w:r w:rsidRPr="00B369EA">
              <w:t>Целевой выбор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spacing w:before="120"/>
              <w:ind w:firstLine="567"/>
              <w:jc w:val="both"/>
            </w:pPr>
            <w:r w:rsidRPr="00B369EA">
              <w:t>Выбор связан с сознательным определением целей профессиональной деятельности, исходя из анализа реальных проблем и путей их решения (до момента выбора знает о будущей профессиональной деятельности)</w:t>
            </w:r>
          </w:p>
        </w:tc>
      </w:tr>
    </w:tbl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Этап карьеры (как точка на временной оси) не всегда связан с этапом профессионального развития. Человек, находящийся на этапе продвижения, в рамках другой профессии может не быть еще высоким профессионалом. Поэтому важно разделять этап карьеры — временной период развития личности и фазы развития профессионала — периоды овладения деятельностью.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В соответствии с фазами развития профессионала различают: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оптант (фаза оптации). Человек озабочен вопросами выбора или вынужденной перемены профессии и делает этот выбор. Точных хронологических границ здесь, как и в отношении других фаз, быть не может, поскольку возрастные особенности задаются не только физиологическими, но и многоаспектными условиями культуры;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адепт (фаза адепта). Это человек, уже вставший на путь приверженности профессии и осваивающий ее. В зависимости от профессии это может быть и многолетний, и совсем кратковременный процесс (например, простой инструктаж);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адаптант (фаза адаптации, привыкания молодого специалиста к работе). Как бы ни был налажен процесс подготовки того или иного профессионала в учебном заведении, он никогда не подходит “как ключ к замку” производственной работе;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интернал (фаза интернала). Опытный работник, который любит свое дело и может вполне самостоятельно, все более надежно и успешно справляться с основными профессиональными функциями, что признают товарищи по работе, по профессии;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мастер (продолжающаяся фаза мастерства). Работник может решать и простые, и самые трудные профессиональные задачи, которые, быть может, не всем коллегам по плечу;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авторитет (фаза авторитета, как и фаза мастерства, суммируется также с последующей). Мастер своего дела, уже хорошо известный в профессиональном кругу или даже за его пределами (в отрасли, в стране). В зависимости от принятых в данной профессии форм аттестации работников он имеет те или иные высокие формальные показатели квалификации;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наставник (фаза наставничества). Авторитетный мастер своего дела, в любой профессии “обрастает” единомышленниками, перенимателями опыта, учениками.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Фазы развития профессионала можно представить следующей схемой: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6"/>
        <w:gridCol w:w="1294"/>
        <w:gridCol w:w="1634"/>
        <w:gridCol w:w="1648"/>
        <w:gridCol w:w="177"/>
        <w:gridCol w:w="621"/>
        <w:gridCol w:w="621"/>
        <w:gridCol w:w="576"/>
        <w:gridCol w:w="8"/>
        <w:gridCol w:w="1743"/>
      </w:tblGrid>
      <w:tr w:rsidR="00B63BD4" w:rsidRPr="00B369EA" w:rsidTr="00A81C14">
        <w:trPr>
          <w:tblCellSpacing w:w="0" w:type="dxa"/>
          <w:jc w:val="center"/>
        </w:trPr>
        <w:tc>
          <w:tcPr>
            <w:tcW w:w="7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10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Наставник</w:t>
            </w:r>
          </w:p>
        </w:tc>
      </w:tr>
      <w:tr w:rsidR="00B63BD4" w:rsidRPr="00B369EA" w:rsidTr="00A81C14">
        <w:trPr>
          <w:tblCellSpacing w:w="0" w:type="dxa"/>
          <w:jc w:val="center"/>
        </w:trPr>
        <w:tc>
          <w:tcPr>
            <w:tcW w:w="7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9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9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Авторитет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</w:tr>
      <w:tr w:rsidR="00B63BD4" w:rsidRPr="00B369EA" w:rsidTr="00A81C14">
        <w:trPr>
          <w:tblCellSpacing w:w="0" w:type="dxa"/>
          <w:jc w:val="center"/>
        </w:trPr>
        <w:tc>
          <w:tcPr>
            <w:tcW w:w="7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Интернал</w:t>
            </w:r>
          </w:p>
        </w:tc>
        <w:tc>
          <w:tcPr>
            <w:tcW w:w="7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Мастер</w:t>
            </w:r>
          </w:p>
        </w:tc>
        <w:tc>
          <w:tcPr>
            <w:tcW w:w="1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</w:tr>
      <w:tr w:rsidR="00B63BD4" w:rsidRPr="00B369EA" w:rsidTr="00A81C14">
        <w:trPr>
          <w:tblCellSpacing w:w="0" w:type="dxa"/>
          <w:jc w:val="center"/>
        </w:trPr>
        <w:tc>
          <w:tcPr>
            <w:tcW w:w="7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Адепт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Адаптант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4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15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</w:tr>
      <w:tr w:rsidR="00B63BD4" w:rsidRPr="00B369EA" w:rsidTr="00A81C14">
        <w:trPr>
          <w:tblCellSpacing w:w="0" w:type="dxa"/>
          <w:jc w:val="center"/>
        </w:trPr>
        <w:tc>
          <w:tcPr>
            <w:tcW w:w="7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Оптант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4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  <w:tc>
          <w:tcPr>
            <w:tcW w:w="15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>
              <w:t xml:space="preserve"> </w:t>
            </w:r>
          </w:p>
        </w:tc>
      </w:tr>
    </w:tbl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Планирование карьеры — одно из направлений кадровой работы в организации, ориентированное на определение стратегии и этапов развития и продвижения специалистов.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Это процесс сопоставления потенциальных возможностей, способностей и целей человека, с требованиями организации, стратегией и планами ее развития, выражающийся в составлении программы профессионального и должностного роста.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Перечень профессиональных и должностных позиций в организации (и вне ее), фиксирующий оптимальное развитие профессионала для занятия им определенной позиции в организации, представляет собой карьерограмму, формализованное представление о том, какой путь должен пройти специалист для того, чтобы получить необходимые знания и овладеть нужными навыками для эффективной работы на конкретном месте.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Планированием карьеры в организации могут заниматься менеджер по персоналу, сам сотрудник, его непосредственный руководитель (линейный менеджер). Основные мероприятия по планированию карьеры, специфичные для разных субъектов планирования, представлены ниже: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0"/>
        <w:gridCol w:w="4378"/>
      </w:tblGrid>
      <w:tr w:rsidR="00B63BD4" w:rsidRPr="00B369EA" w:rsidTr="00A81C14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Default="00B63BD4" w:rsidP="00A81C14">
            <w:pPr>
              <w:jc w:val="both"/>
            </w:pPr>
            <w:r w:rsidRPr="00B369EA">
              <w:t xml:space="preserve">Субъект </w:t>
            </w:r>
          </w:p>
          <w:p w:rsidR="00B63BD4" w:rsidRPr="00B369EA" w:rsidRDefault="00B63BD4" w:rsidP="00A81C14">
            <w:pPr>
              <w:jc w:val="both"/>
            </w:pPr>
            <w:r w:rsidRPr="00B369EA">
              <w:t>планирования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Default="00B63BD4" w:rsidP="00A81C14">
            <w:pPr>
              <w:jc w:val="both"/>
            </w:pPr>
            <w:r w:rsidRPr="00B369EA">
              <w:t xml:space="preserve">Мероприятия </w:t>
            </w:r>
          </w:p>
          <w:p w:rsidR="00B63BD4" w:rsidRPr="00B369EA" w:rsidRDefault="00B63BD4" w:rsidP="00A81C14">
            <w:pPr>
              <w:jc w:val="both"/>
            </w:pPr>
            <w:r w:rsidRPr="00B369EA">
              <w:t>по планированию карьеры</w:t>
            </w:r>
          </w:p>
        </w:tc>
      </w:tr>
      <w:tr w:rsidR="00B63BD4" w:rsidRPr="00B369EA" w:rsidTr="00A81C14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Сотрудник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Default="00B63BD4" w:rsidP="00A81C14">
            <w:pPr>
              <w:jc w:val="both"/>
            </w:pPr>
            <w:r w:rsidRPr="00B369EA">
              <w:t>Первичная ориентация и выбор профессии</w:t>
            </w:r>
          </w:p>
          <w:p w:rsidR="00B63BD4" w:rsidRDefault="00B63BD4" w:rsidP="00A81C14">
            <w:pPr>
              <w:jc w:val="both"/>
            </w:pPr>
            <w:r w:rsidRPr="00B369EA">
              <w:t xml:space="preserve">Выбор организации и должности </w:t>
            </w:r>
          </w:p>
          <w:p w:rsidR="00B63BD4" w:rsidRDefault="00B63BD4" w:rsidP="00A81C14">
            <w:pPr>
              <w:jc w:val="both"/>
            </w:pPr>
            <w:r w:rsidRPr="00B369EA">
              <w:t>Ориентация в организации</w:t>
            </w:r>
          </w:p>
          <w:p w:rsidR="00B63BD4" w:rsidRDefault="00B63BD4" w:rsidP="00A81C14">
            <w:pPr>
              <w:jc w:val="both"/>
            </w:pPr>
            <w:r w:rsidRPr="00B369EA">
              <w:t xml:space="preserve">Оценка перспектив и проектирование роста </w:t>
            </w:r>
          </w:p>
          <w:p w:rsidR="00B63BD4" w:rsidRPr="00B369EA" w:rsidRDefault="00B63BD4" w:rsidP="00A81C14">
            <w:pPr>
              <w:jc w:val="both"/>
            </w:pPr>
            <w:r w:rsidRPr="00B369EA">
              <w:t>Реализация роста</w:t>
            </w:r>
          </w:p>
        </w:tc>
      </w:tr>
      <w:tr w:rsidR="00B63BD4" w:rsidRPr="00B369EA" w:rsidTr="00A81C14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Менеджер по персоналу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Default="00B63BD4" w:rsidP="00A81C14">
            <w:pPr>
              <w:jc w:val="both"/>
            </w:pPr>
            <w:r w:rsidRPr="00B369EA">
              <w:t>Оценка при приеме на работу</w:t>
            </w:r>
          </w:p>
          <w:p w:rsidR="00B63BD4" w:rsidRDefault="00B63BD4" w:rsidP="00A81C14">
            <w:pPr>
              <w:jc w:val="both"/>
            </w:pPr>
            <w:r w:rsidRPr="00B369EA">
              <w:t>Определение на рабочее место</w:t>
            </w:r>
          </w:p>
          <w:p w:rsidR="00B63BD4" w:rsidRDefault="00B63BD4" w:rsidP="00A81C14">
            <w:pPr>
              <w:jc w:val="both"/>
            </w:pPr>
            <w:r w:rsidRPr="00B369EA">
              <w:t xml:space="preserve">Оценка труда и потенциала сотрудников </w:t>
            </w:r>
          </w:p>
          <w:p w:rsidR="00B63BD4" w:rsidRDefault="00B63BD4" w:rsidP="00A81C14">
            <w:pPr>
              <w:jc w:val="both"/>
            </w:pPr>
            <w:r w:rsidRPr="00B369EA">
              <w:t>Отбор в резерв</w:t>
            </w:r>
          </w:p>
          <w:p w:rsidR="00B63BD4" w:rsidRDefault="00B63BD4" w:rsidP="00A81C14">
            <w:pPr>
              <w:jc w:val="both"/>
            </w:pPr>
            <w:r w:rsidRPr="00B369EA">
              <w:t xml:space="preserve">Дополнительная подготовка </w:t>
            </w:r>
          </w:p>
          <w:p w:rsidR="00B63BD4" w:rsidRDefault="00B63BD4" w:rsidP="00A81C14">
            <w:pPr>
              <w:jc w:val="both"/>
            </w:pPr>
            <w:r w:rsidRPr="00B369EA">
              <w:t xml:space="preserve">Программы работы с резервом </w:t>
            </w:r>
          </w:p>
          <w:p w:rsidR="00B63BD4" w:rsidRDefault="00B63BD4" w:rsidP="00A81C14">
            <w:pPr>
              <w:jc w:val="both"/>
            </w:pPr>
            <w:r w:rsidRPr="00B369EA">
              <w:t>Продвижение</w:t>
            </w:r>
          </w:p>
          <w:p w:rsidR="00B63BD4" w:rsidRPr="00B369EA" w:rsidRDefault="00B63BD4" w:rsidP="00A81C14">
            <w:pPr>
              <w:jc w:val="both"/>
            </w:pPr>
            <w:r w:rsidRPr="00B369EA">
              <w:t>Новый цикл планирования</w:t>
            </w:r>
          </w:p>
        </w:tc>
      </w:tr>
      <w:tr w:rsidR="00B63BD4" w:rsidRPr="00B369EA" w:rsidTr="00A81C14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BD4" w:rsidRPr="00B369EA" w:rsidRDefault="00B63BD4" w:rsidP="00A81C14">
            <w:pPr>
              <w:jc w:val="both"/>
            </w:pPr>
            <w:r w:rsidRPr="00B369EA">
              <w:t>Непосредственный руководитель (линейный менеджер)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3BD4" w:rsidRDefault="00B63BD4" w:rsidP="00A81C14">
            <w:pPr>
              <w:jc w:val="both"/>
            </w:pPr>
            <w:r w:rsidRPr="00B369EA">
              <w:t>Оценка результатов труда</w:t>
            </w:r>
          </w:p>
          <w:p w:rsidR="00B63BD4" w:rsidRDefault="00B63BD4" w:rsidP="00A81C14">
            <w:pPr>
              <w:jc w:val="both"/>
            </w:pPr>
            <w:r w:rsidRPr="00B369EA">
              <w:t>Оценка мотивации</w:t>
            </w:r>
          </w:p>
          <w:p w:rsidR="00B63BD4" w:rsidRDefault="00B63BD4" w:rsidP="00A81C14">
            <w:pPr>
              <w:jc w:val="both"/>
            </w:pPr>
            <w:r w:rsidRPr="00B369EA">
              <w:t>Организация профессионального развития</w:t>
            </w:r>
          </w:p>
          <w:p w:rsidR="00B63BD4" w:rsidRDefault="00B63BD4" w:rsidP="00A81C14">
            <w:pPr>
              <w:jc w:val="both"/>
            </w:pPr>
            <w:r w:rsidRPr="00B369EA">
              <w:t>Предложения по стимулированию</w:t>
            </w:r>
          </w:p>
          <w:p w:rsidR="00B63BD4" w:rsidRPr="00B369EA" w:rsidRDefault="00B63BD4" w:rsidP="00A81C14">
            <w:pPr>
              <w:jc w:val="both"/>
            </w:pPr>
            <w:r w:rsidRPr="00B369EA">
              <w:t>Предложения по росту</w:t>
            </w:r>
          </w:p>
        </w:tc>
      </w:tr>
    </w:tbl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Условия карьеры. Продвижение по службе определяется не только личными качествами работника (образование, квалификация, отношение к работе, система внутренних мотиваций), но и объективными, в частности: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Среди объективных условий карьеры: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высшая точка карьеры — высший пост, существующий в конкретной рассматриваемой организации;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длина карьеры — количество позиций на пути от первой позиции, занимаемой индивидуумом в организации, до высшей точки;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показатель уровня позиции — отношение числа лиц, занятых на следующем иерархическом уровне, к числу лиц, занятых на том иерархическом уровне, где находится индивидуум в данный момент своей карьеры;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показатель потенциальной мобильности — отношение (в некоторый определенный период времени) числа вакансий на следующем иерархическом уровне к числу лиц, занятых на том иерархическом уровне, где находится индивидуум. </w:t>
      </w:r>
    </w:p>
    <w:p w:rsidR="00B63BD4" w:rsidRPr="00B369EA" w:rsidRDefault="00B63BD4" w:rsidP="00B63BD4">
      <w:pPr>
        <w:spacing w:before="120"/>
        <w:ind w:firstLine="567"/>
        <w:jc w:val="both"/>
      </w:pPr>
      <w:r w:rsidRPr="00B369EA">
        <w:t xml:space="preserve">В зависимости от объективных условий внутриорганизационная карьера может быть перспективной или тупиковой — у сотрудника может быть либо длинная карьерная линия, либо очень короткая. Менеджер по персоналу уже при приеме кандидата должен спроектировать возможную карьеру и обсудить ее с кандидатом исходя из индивидуальных особенностей и специфики мотивации. Одна и та же карьерная линия для разных сотрудников может быть и привлекательной, и неинтересной, что существенным образом скажется на эффективности их дальнейшей деятельности.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BD4"/>
    <w:rsid w:val="00382472"/>
    <w:rsid w:val="00616072"/>
    <w:rsid w:val="0083521F"/>
    <w:rsid w:val="008B35EE"/>
    <w:rsid w:val="00A20E46"/>
    <w:rsid w:val="00A81C14"/>
    <w:rsid w:val="00B02032"/>
    <w:rsid w:val="00B369EA"/>
    <w:rsid w:val="00B42C45"/>
    <w:rsid w:val="00B47B6A"/>
    <w:rsid w:val="00B63BD4"/>
    <w:rsid w:val="00D3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4E6CEAF-6BCE-44AA-8CBA-121A9494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63BD4"/>
    <w:rPr>
      <w:color w:val="22229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карьеры</vt:lpstr>
    </vt:vector>
  </TitlesOfParts>
  <Company>Home</Company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карьеры</dc:title>
  <dc:subject/>
  <dc:creator>User</dc:creator>
  <cp:keywords/>
  <dc:description/>
  <cp:lastModifiedBy>admin</cp:lastModifiedBy>
  <cp:revision>2</cp:revision>
  <dcterms:created xsi:type="dcterms:W3CDTF">2014-02-14T21:28:00Z</dcterms:created>
  <dcterms:modified xsi:type="dcterms:W3CDTF">2014-02-14T21:28:00Z</dcterms:modified>
</cp:coreProperties>
</file>