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470" w:rsidRDefault="00772C2E" w:rsidP="001B7CAE">
      <w:pPr>
        <w:spacing w:line="360" w:lineRule="auto"/>
        <w:jc w:val="center"/>
        <w:rPr>
          <w:b/>
          <w:sz w:val="28"/>
          <w:szCs w:val="28"/>
        </w:rPr>
      </w:pPr>
      <w:r w:rsidRPr="00772C2E">
        <w:rPr>
          <w:b/>
          <w:sz w:val="28"/>
          <w:szCs w:val="28"/>
        </w:rPr>
        <w:t>1. Платежный и торговый баланс.</w:t>
      </w:r>
    </w:p>
    <w:p w:rsidR="001B7CAE" w:rsidRPr="001B7CAE" w:rsidRDefault="001B7CAE" w:rsidP="0022319A">
      <w:pPr>
        <w:spacing w:line="360" w:lineRule="auto"/>
        <w:ind w:firstLine="540"/>
        <w:jc w:val="both"/>
        <w:rPr>
          <w:sz w:val="28"/>
          <w:szCs w:val="28"/>
        </w:rPr>
      </w:pPr>
      <w:r w:rsidRPr="001B7CAE">
        <w:rPr>
          <w:sz w:val="28"/>
          <w:szCs w:val="28"/>
        </w:rPr>
        <w:t>Экономические отношения страны с другими странами - важный аспект ее экономической политики. Их изучение в большинстве стран осуществляется с помощью платежного баланса. Он показывает, как в течение отчетного периода развивалась внешняя торговля, сколько доходов было получено из-за границы и сколько выплачено за границу. Платежный баланс позволяет проследить, как происходило привлечение иностранных инвестиций, погашение внешней задолженности, в каких формах осуществлялись инвестиции в экономику других стран. Платежный баланс показывает, как Банк России изменял уровень своих международных резервов. Таким образом, платежный баланс является одним из основных инструментов макроэкономического анализа и прогнозирования.</w:t>
      </w:r>
    </w:p>
    <w:p w:rsidR="001B7CAE" w:rsidRPr="001B7CAE" w:rsidRDefault="001B7CAE" w:rsidP="0022319A">
      <w:pPr>
        <w:spacing w:line="360" w:lineRule="auto"/>
        <w:ind w:firstLine="540"/>
        <w:jc w:val="both"/>
        <w:rPr>
          <w:sz w:val="28"/>
          <w:szCs w:val="28"/>
        </w:rPr>
      </w:pPr>
      <w:r w:rsidRPr="001B7CAE">
        <w:rPr>
          <w:sz w:val="28"/>
          <w:szCs w:val="28"/>
        </w:rPr>
        <w:t>Платежный баланс представляет собой статистический отчет, в котором отражаются все внешнеэкономические операции данной страны с другими странами мира за определенный период времени (отчетный период). К таким операциям, которые совершаются между резидентами России и резидентами других стран мира (нерезидентами), относятся операции с ТОВАРАМИ (например, сельскохозяйственной продукцией, нефтью, газом, полезными ископаемыми и промышленными товарами); УСЛУГАМИ (например, транспортными, туристическими, строительными и т.д.); ДОХОДАМИ (например, дивидендами и процентами); ТРАНСФЕРТАМИ (например, иностранной помощью) и ФИНАНСАМИ (например, кредитами и займами, наличными денежными средствами и депозитами, инвестициями в акции, облигации, краткосрочные финансовые инструменты, обращающиеся на рынках).</w:t>
      </w:r>
    </w:p>
    <w:p w:rsidR="001B7CAE" w:rsidRPr="001B7CAE" w:rsidRDefault="001B7CAE" w:rsidP="0022319A">
      <w:pPr>
        <w:spacing w:line="360" w:lineRule="auto"/>
        <w:ind w:firstLine="540"/>
        <w:jc w:val="both"/>
        <w:rPr>
          <w:sz w:val="28"/>
          <w:szCs w:val="28"/>
        </w:rPr>
      </w:pPr>
      <w:r w:rsidRPr="001B7CAE">
        <w:rPr>
          <w:sz w:val="28"/>
          <w:szCs w:val="28"/>
        </w:rPr>
        <w:t>К резидентам России относятся органы государственного управления России и предприятия (независимо от формы собственности), осуществляющие свою деятельность в России длительное время (год и более). Резидентами являются также физические лица, независимо от их гражданства и национальности, находящиеся на экономической территории страны год и более. Исключение составляют сотрудники иностранных посольств, иностранные студенты, лица, находящиеся на лечении</w:t>
      </w:r>
    </w:p>
    <w:p w:rsidR="001B7CAE" w:rsidRPr="001B7CAE" w:rsidRDefault="001B7CAE" w:rsidP="0022319A">
      <w:pPr>
        <w:spacing w:line="360" w:lineRule="auto"/>
        <w:ind w:firstLine="540"/>
        <w:jc w:val="both"/>
        <w:rPr>
          <w:sz w:val="28"/>
          <w:szCs w:val="28"/>
        </w:rPr>
      </w:pPr>
      <w:r w:rsidRPr="001B7CAE">
        <w:rPr>
          <w:sz w:val="28"/>
          <w:szCs w:val="28"/>
        </w:rPr>
        <w:t>Основным принципом, используемым при построении платежного баланса, является система двойной записи, применяемая в бухгалтерском учете. Каждая, отражаемая в учете, операция должна быть представлена двумя записями, имеющими одинаковое стоимостное выражение. Одна из этих записей обозначается как "кредит" со знаком плюс, другая обозначается как "дебет" со знаком минус. Это является отражением того факта, что большинство экономических операций заключается в обмене экономическими ценностями.</w:t>
      </w:r>
    </w:p>
    <w:p w:rsidR="001B7CAE" w:rsidRPr="001B7CAE" w:rsidRDefault="001B7CAE" w:rsidP="0022319A">
      <w:pPr>
        <w:spacing w:line="360" w:lineRule="auto"/>
        <w:ind w:firstLine="540"/>
        <w:jc w:val="both"/>
        <w:rPr>
          <w:sz w:val="28"/>
          <w:szCs w:val="28"/>
        </w:rPr>
      </w:pPr>
      <w:r w:rsidRPr="001B7CAE">
        <w:rPr>
          <w:sz w:val="28"/>
          <w:szCs w:val="28"/>
        </w:rPr>
        <w:t>Сумма всех кредитовых проводок должна совпадать с суммой всех дебетовых проводок, а общее сальдо должно всегда равняться нулю. Однако на практике баланс никогда не достигается, поскольку данные о различных сторонах одних и тех же операций берутся из разных источников. Например, данные об экспорте товаров содержатся в таможенной статистике, в то время как данные о поступлениях иностранной валюты на счета предприятий за поставки по экспорту обычно берутся из банковской статистики. Расхождение между суммами кредитовых и дебетовых проводок называется "чистыми ошибками и пропусками". Даже если этот показатель составляет относительно небольшую величину, это не означает, что сумма абсолютных величин ошибок и пропусков мала, так как противоположные по знаку ошибки и пропуски могут погашать друг друга.</w:t>
      </w:r>
    </w:p>
    <w:p w:rsidR="001B7CAE" w:rsidRPr="001B7CAE" w:rsidRDefault="001B7CAE" w:rsidP="0022319A">
      <w:pPr>
        <w:spacing w:line="360" w:lineRule="auto"/>
        <w:jc w:val="both"/>
        <w:rPr>
          <w:sz w:val="28"/>
          <w:szCs w:val="28"/>
        </w:rPr>
      </w:pPr>
      <w:r w:rsidRPr="001B7CAE">
        <w:rPr>
          <w:sz w:val="28"/>
          <w:szCs w:val="28"/>
        </w:rPr>
        <w:t>В соответствии с правилами составления платежного баланса экспорт экономических ценностей показывается по кредиту, поэтому операции в платежном балансе отражаются</w:t>
      </w:r>
      <w:r>
        <w:t xml:space="preserve"> </w:t>
      </w:r>
      <w:r w:rsidRPr="001B7CAE">
        <w:rPr>
          <w:sz w:val="28"/>
          <w:szCs w:val="28"/>
        </w:rPr>
        <w:t>следующим образом:</w:t>
      </w:r>
    </w:p>
    <w:p w:rsidR="001B7CAE" w:rsidRPr="001B7CAE" w:rsidRDefault="001B7CAE" w:rsidP="001B7CAE">
      <w:pPr>
        <w:ind w:firstLine="540"/>
        <w:jc w:val="right"/>
        <w:rPr>
          <w:sz w:val="28"/>
          <w:szCs w:val="28"/>
        </w:rPr>
      </w:pPr>
      <w:r>
        <w:rPr>
          <w:sz w:val="28"/>
          <w:szCs w:val="28"/>
        </w:rPr>
        <w:t>Таблица 1</w:t>
      </w:r>
      <w:r w:rsidR="00A5313E">
        <w:rPr>
          <w:sz w:val="28"/>
          <w:szCs w:val="28"/>
        </w:rPr>
        <w:t>.1.</w:t>
      </w:r>
    </w:p>
    <w:tbl>
      <w:tblPr>
        <w:tblStyle w:val="a3"/>
        <w:tblW w:w="4999" w:type="pct"/>
        <w:tblLook w:val="01E0" w:firstRow="1" w:lastRow="1" w:firstColumn="1" w:lastColumn="1" w:noHBand="0" w:noVBand="0"/>
      </w:tblPr>
      <w:tblGrid>
        <w:gridCol w:w="2988"/>
        <w:gridCol w:w="3392"/>
        <w:gridCol w:w="3189"/>
      </w:tblGrid>
      <w:tr w:rsidR="001B7CAE">
        <w:trPr>
          <w:trHeight w:val="349"/>
        </w:trPr>
        <w:tc>
          <w:tcPr>
            <w:tcW w:w="1561" w:type="pct"/>
          </w:tcPr>
          <w:p w:rsidR="001B7CAE" w:rsidRPr="0016330C" w:rsidRDefault="001B7CAE" w:rsidP="0022319A">
            <w:r>
              <w:t>Операция</w:t>
            </w:r>
          </w:p>
        </w:tc>
        <w:tc>
          <w:tcPr>
            <w:tcW w:w="1772" w:type="pct"/>
          </w:tcPr>
          <w:p w:rsidR="001B7CAE" w:rsidRPr="0016330C" w:rsidRDefault="001B7CAE" w:rsidP="0022319A">
            <w:r>
              <w:t>Кредит, плюс (+)</w:t>
            </w:r>
          </w:p>
        </w:tc>
        <w:tc>
          <w:tcPr>
            <w:tcW w:w="1666" w:type="pct"/>
          </w:tcPr>
          <w:p w:rsidR="001B7CAE" w:rsidRDefault="001B7CAE" w:rsidP="001B7CAE">
            <w:r>
              <w:t>Дебет, минус (-)</w:t>
            </w:r>
          </w:p>
          <w:p w:rsidR="001B7CAE" w:rsidRPr="0016330C" w:rsidRDefault="001B7CAE" w:rsidP="0022319A"/>
        </w:tc>
      </w:tr>
      <w:tr w:rsidR="001B7CAE">
        <w:trPr>
          <w:trHeight w:val="868"/>
        </w:trPr>
        <w:tc>
          <w:tcPr>
            <w:tcW w:w="1561" w:type="pct"/>
          </w:tcPr>
          <w:p w:rsidR="001B7CAE" w:rsidRDefault="001B7CAE" w:rsidP="0022319A">
            <w:r>
              <w:t xml:space="preserve">А. Товары и нефакторные </w:t>
            </w:r>
          </w:p>
          <w:p w:rsidR="001B7CAE" w:rsidRPr="001B4B1F" w:rsidRDefault="001B7CAE" w:rsidP="0022319A">
            <w:r>
              <w:t>услуги</w:t>
            </w:r>
          </w:p>
        </w:tc>
        <w:tc>
          <w:tcPr>
            <w:tcW w:w="1772" w:type="pct"/>
          </w:tcPr>
          <w:p w:rsidR="001B7CAE" w:rsidRDefault="001B7CAE" w:rsidP="0022319A">
            <w:r>
              <w:t xml:space="preserve">Экспорт товаров и услуг </w:t>
            </w:r>
          </w:p>
          <w:p w:rsidR="001B7CAE" w:rsidRDefault="001B7CAE" w:rsidP="0022319A">
            <w:r>
              <w:t xml:space="preserve">(оказание услуг </w:t>
            </w:r>
          </w:p>
          <w:p w:rsidR="001B7CAE" w:rsidRPr="001B4B1F" w:rsidRDefault="001B7CAE" w:rsidP="0022319A">
            <w:r>
              <w:t>нерезидентам)</w:t>
            </w:r>
          </w:p>
        </w:tc>
        <w:tc>
          <w:tcPr>
            <w:tcW w:w="1666" w:type="pct"/>
          </w:tcPr>
          <w:p w:rsidR="001B7CAE" w:rsidRDefault="001B7CAE" w:rsidP="0022319A">
            <w:r>
              <w:t xml:space="preserve">Импорт товаров и услуг </w:t>
            </w:r>
          </w:p>
          <w:p w:rsidR="001B7CAE" w:rsidRDefault="001B7CAE" w:rsidP="0022319A">
            <w:r>
              <w:t xml:space="preserve">(оказание услуг </w:t>
            </w:r>
          </w:p>
          <w:p w:rsidR="001B7CAE" w:rsidRPr="001B4B1F" w:rsidRDefault="001B7CAE" w:rsidP="0022319A">
            <w:r>
              <w:t>нерезидентами)</w:t>
            </w:r>
          </w:p>
        </w:tc>
      </w:tr>
      <w:tr w:rsidR="001B7CAE">
        <w:trPr>
          <w:trHeight w:val="888"/>
        </w:trPr>
        <w:tc>
          <w:tcPr>
            <w:tcW w:w="1561" w:type="pct"/>
          </w:tcPr>
          <w:p w:rsidR="001B7CAE" w:rsidRPr="0016330C" w:rsidRDefault="001B7CAE" w:rsidP="0022319A">
            <w:r>
              <w:t>Б. Услуги труда и капитала (оплата труда и доходы от инвестиций)</w:t>
            </w:r>
          </w:p>
        </w:tc>
        <w:tc>
          <w:tcPr>
            <w:tcW w:w="1772" w:type="pct"/>
          </w:tcPr>
          <w:p w:rsidR="001B7CAE" w:rsidRDefault="001B7CAE" w:rsidP="0022319A">
            <w:r>
              <w:t xml:space="preserve">оказанные нерезидентам </w:t>
            </w:r>
          </w:p>
          <w:p w:rsidR="001B7CAE" w:rsidRPr="0016330C" w:rsidRDefault="001B7CAE" w:rsidP="0022319A">
            <w:r>
              <w:t>резидентами</w:t>
            </w:r>
          </w:p>
        </w:tc>
        <w:tc>
          <w:tcPr>
            <w:tcW w:w="1666" w:type="pct"/>
          </w:tcPr>
          <w:p w:rsidR="001B7CAE" w:rsidRDefault="001B7CAE" w:rsidP="0022319A">
            <w:r>
              <w:t>оказанные резидентам</w:t>
            </w:r>
          </w:p>
          <w:p w:rsidR="001B7CAE" w:rsidRPr="0016330C" w:rsidRDefault="001B7CAE" w:rsidP="0022319A">
            <w:r>
              <w:t>нерезидентами</w:t>
            </w:r>
          </w:p>
        </w:tc>
      </w:tr>
      <w:tr w:rsidR="001B7CAE">
        <w:trPr>
          <w:trHeight w:val="551"/>
        </w:trPr>
        <w:tc>
          <w:tcPr>
            <w:tcW w:w="1561" w:type="pct"/>
          </w:tcPr>
          <w:p w:rsidR="001B7CAE" w:rsidRDefault="001B7CAE" w:rsidP="0022319A">
            <w:r>
              <w:t xml:space="preserve">В. Трансферты (текущие и </w:t>
            </w:r>
          </w:p>
          <w:p w:rsidR="001B7CAE" w:rsidRPr="0016330C" w:rsidRDefault="001B7CAE" w:rsidP="0022319A">
            <w:r>
              <w:t>капитальные)</w:t>
            </w:r>
          </w:p>
        </w:tc>
        <w:tc>
          <w:tcPr>
            <w:tcW w:w="1772" w:type="pct"/>
          </w:tcPr>
          <w:p w:rsidR="001B7CAE" w:rsidRPr="007F633A" w:rsidRDefault="001B7CAE" w:rsidP="0022319A">
            <w:r w:rsidRPr="007F633A">
              <w:t>получение средств</w:t>
            </w:r>
            <w:r w:rsidRPr="007F633A">
              <w:tab/>
            </w:r>
          </w:p>
        </w:tc>
        <w:tc>
          <w:tcPr>
            <w:tcW w:w="1666" w:type="pct"/>
          </w:tcPr>
          <w:p w:rsidR="001B7CAE" w:rsidRDefault="001B7CAE" w:rsidP="0022319A">
            <w:r w:rsidRPr="007F633A">
              <w:t>передача средств</w:t>
            </w:r>
          </w:p>
        </w:tc>
      </w:tr>
      <w:tr w:rsidR="001B7CAE">
        <w:trPr>
          <w:trHeight w:val="1970"/>
        </w:trPr>
        <w:tc>
          <w:tcPr>
            <w:tcW w:w="1561" w:type="pct"/>
          </w:tcPr>
          <w:p w:rsidR="001B7CAE" w:rsidRDefault="001B7CAE" w:rsidP="001B7CAE">
            <w:r>
              <w:t>Г. Операции с финансовыми активами или обязательствами</w:t>
            </w:r>
            <w:r>
              <w:tab/>
            </w:r>
          </w:p>
          <w:p w:rsidR="001B7CAE" w:rsidRPr="0016330C" w:rsidRDefault="001B7CAE" w:rsidP="0022319A"/>
        </w:tc>
        <w:tc>
          <w:tcPr>
            <w:tcW w:w="1772" w:type="pct"/>
          </w:tcPr>
          <w:p w:rsidR="001B7CAE" w:rsidRDefault="001B7CAE" w:rsidP="0022319A">
            <w:r>
              <w:t xml:space="preserve">увеличение обязательств </w:t>
            </w:r>
          </w:p>
          <w:p w:rsidR="001B7CAE" w:rsidRDefault="001B7CAE" w:rsidP="0022319A">
            <w:r>
              <w:t xml:space="preserve">по отношению к нерезидентам (например, приобретение нерезидентами наличной национальной валюты) </w:t>
            </w:r>
          </w:p>
          <w:p w:rsidR="001B7CAE" w:rsidRDefault="001B7CAE" w:rsidP="0022319A">
            <w:r>
              <w:t xml:space="preserve">или уменьшение требований к нерезидентам (например, снижение остатков </w:t>
            </w:r>
          </w:p>
          <w:p w:rsidR="001B7CAE" w:rsidRPr="0016330C" w:rsidRDefault="001B7CAE" w:rsidP="0022319A">
            <w:r>
              <w:t>по счетам резидентов в банках- нерезидентах)</w:t>
            </w:r>
          </w:p>
        </w:tc>
        <w:tc>
          <w:tcPr>
            <w:tcW w:w="1666" w:type="pct"/>
          </w:tcPr>
          <w:p w:rsidR="001B7CAE" w:rsidRDefault="001B7CAE" w:rsidP="0022319A">
            <w:r>
              <w:t xml:space="preserve">увеличение требований к </w:t>
            </w:r>
          </w:p>
          <w:p w:rsidR="001B7CAE" w:rsidRDefault="001B7CAE" w:rsidP="0022319A">
            <w:r>
              <w:t xml:space="preserve">нерезидентам (например, </w:t>
            </w:r>
          </w:p>
          <w:p w:rsidR="001B7CAE" w:rsidRDefault="001B7CAE" w:rsidP="0022319A">
            <w:r>
              <w:t xml:space="preserve">предоставление кредитов </w:t>
            </w:r>
          </w:p>
          <w:p w:rsidR="001B7CAE" w:rsidRDefault="001B7CAE" w:rsidP="0022319A">
            <w:r>
              <w:t xml:space="preserve">нерезидентам) или </w:t>
            </w:r>
          </w:p>
          <w:p w:rsidR="001B7CAE" w:rsidRDefault="001B7CAE" w:rsidP="0022319A">
            <w:r>
              <w:t xml:space="preserve">уменьшение обязательств </w:t>
            </w:r>
          </w:p>
          <w:p w:rsidR="001B7CAE" w:rsidRDefault="001B7CAE" w:rsidP="0022319A">
            <w:r>
              <w:t xml:space="preserve">по отношению к </w:t>
            </w:r>
          </w:p>
          <w:p w:rsidR="001B7CAE" w:rsidRDefault="001B7CAE" w:rsidP="0022319A">
            <w:r>
              <w:t xml:space="preserve">нерезидентам (например, </w:t>
            </w:r>
          </w:p>
          <w:p w:rsidR="001B7CAE" w:rsidRDefault="001B7CAE" w:rsidP="0022319A">
            <w:r>
              <w:t xml:space="preserve">погашение резидентами </w:t>
            </w:r>
          </w:p>
          <w:p w:rsidR="001B7CAE" w:rsidRDefault="001B7CAE" w:rsidP="0022319A">
            <w:r>
              <w:t xml:space="preserve">ценных бумаг, </w:t>
            </w:r>
          </w:p>
          <w:p w:rsidR="001B7CAE" w:rsidRDefault="001B7CAE" w:rsidP="0022319A">
            <w:r>
              <w:t xml:space="preserve">приобретенных </w:t>
            </w:r>
          </w:p>
          <w:p w:rsidR="001B7CAE" w:rsidRPr="0016330C" w:rsidRDefault="001B7CAE" w:rsidP="0022319A">
            <w:r>
              <w:t>нерезидентами)</w:t>
            </w:r>
          </w:p>
        </w:tc>
      </w:tr>
    </w:tbl>
    <w:p w:rsidR="001B7CAE" w:rsidRPr="0022319A" w:rsidRDefault="001B7CAE" w:rsidP="0022319A">
      <w:pPr>
        <w:spacing w:line="360" w:lineRule="auto"/>
        <w:ind w:firstLine="540"/>
        <w:jc w:val="both"/>
        <w:rPr>
          <w:sz w:val="28"/>
          <w:szCs w:val="28"/>
        </w:rPr>
      </w:pPr>
      <w:r w:rsidRPr="0022319A">
        <w:rPr>
          <w:sz w:val="28"/>
          <w:szCs w:val="28"/>
        </w:rPr>
        <w:t>В платежном балансе операции фиксируются в рыночных ценах, т.е. указывается сумма денег, которую готовы заплатить покупатели, чтобы приобрести что-либо у продавцов, которые готовы осуществить продажу за эту сумму, при условии, что стороны являются независимыми, а в основе сделки лежат исключительно коммерческие соображения. Это означает, что для оценки операций в платежном балансе используются контрактные цены, т.е. цены конкретных сделок. В большинстве случаев стоимостной показатель операции соответствует данным требованиям. В тех случаях, когда фактическая стоимость оказывается неизвестной (например, в случае определенных товаров, поставляемых в рамках программы иностранной помощи), производится расчет стоимости, основанный на ценах мирового рынка или оценке стоимости для поставщика.</w:t>
      </w:r>
    </w:p>
    <w:p w:rsidR="001B7CAE" w:rsidRPr="0022319A" w:rsidRDefault="001B7CAE" w:rsidP="0022319A">
      <w:pPr>
        <w:spacing w:line="360" w:lineRule="auto"/>
        <w:ind w:firstLine="540"/>
        <w:jc w:val="both"/>
        <w:rPr>
          <w:sz w:val="28"/>
          <w:szCs w:val="28"/>
        </w:rPr>
      </w:pPr>
      <w:r w:rsidRPr="0022319A">
        <w:rPr>
          <w:sz w:val="28"/>
          <w:szCs w:val="28"/>
        </w:rPr>
        <w:t>В соответствии с методологией Международного Валютного Фонда платежный баланс страны должен составляться в национальной валюте. Однако, учитывая экономические сложности России, использование долларовой оценки операций при составлении платежного баланса продиктовано необходимостью элиминирования инфляционного фактора, для обеспечения в дальнейшем сопоставимости платежных балансов.</w:t>
      </w:r>
    </w:p>
    <w:p w:rsidR="00772C2E" w:rsidRDefault="001B7CAE" w:rsidP="0022319A">
      <w:pPr>
        <w:spacing w:line="360" w:lineRule="auto"/>
        <w:ind w:firstLine="540"/>
        <w:jc w:val="both"/>
        <w:rPr>
          <w:sz w:val="28"/>
          <w:szCs w:val="28"/>
        </w:rPr>
      </w:pPr>
      <w:r w:rsidRPr="0022319A">
        <w:rPr>
          <w:sz w:val="28"/>
          <w:szCs w:val="28"/>
        </w:rPr>
        <w:t>Платежный баланс Российской Федерации разрабатывается Центральным Банком Российской Федерации и Госкомстатом России на основе банковской и государственной статистики, а также данных Министерства финансов Российской Федерации, Государственного таможенного комитета Российской Федерации, других организаций, аккумулирующих сведения о внешнеэкономической деятельности резидентов.</w:t>
      </w:r>
    </w:p>
    <w:p w:rsidR="0022319A" w:rsidRPr="0022319A" w:rsidRDefault="0022319A" w:rsidP="0022319A">
      <w:pPr>
        <w:spacing w:line="360" w:lineRule="auto"/>
        <w:ind w:firstLine="540"/>
        <w:jc w:val="both"/>
        <w:rPr>
          <w:sz w:val="28"/>
          <w:szCs w:val="28"/>
        </w:rPr>
      </w:pPr>
      <w:r w:rsidRPr="0022319A">
        <w:rPr>
          <w:sz w:val="28"/>
          <w:szCs w:val="28"/>
        </w:rPr>
        <w:t>Торговый баланс формируется на основе отчетности ГТК России и дополнительных сведений Госкомстата России об экспорте и импорте товаров. Данные об экспорте и импорте услуг (кроме финансовых), а также текущих и капитальных трансферт включаются в платежный баланс на основании информации Госкомстата России.</w:t>
      </w:r>
    </w:p>
    <w:p w:rsidR="0022319A" w:rsidRPr="0022319A" w:rsidRDefault="0022319A" w:rsidP="0022319A">
      <w:pPr>
        <w:spacing w:line="360" w:lineRule="auto"/>
        <w:ind w:firstLine="540"/>
        <w:jc w:val="both"/>
        <w:rPr>
          <w:sz w:val="28"/>
          <w:szCs w:val="28"/>
        </w:rPr>
      </w:pPr>
      <w:r w:rsidRPr="0022319A">
        <w:rPr>
          <w:sz w:val="28"/>
          <w:szCs w:val="28"/>
        </w:rPr>
        <w:t>Полученные и выплаченные инвестиционные доходы учитываются по данным Банка России, Внешэкономбанка и коммерческих банков. Основу всех разделов финансового счета также составляет банковская статистика. Информация о государственных внешних заимствованиях и государственных кредитах, предоставляемых Россией, аккумулируется во Внешэкономбанке как основном агенте Правительства, за исключением кредитов, полученных от международных организаций, которые учитываются в Казначействе Минфина России и кредитов, предоставленных Россией странам СНГ, состоящих на учете в Банке России.</w:t>
      </w:r>
    </w:p>
    <w:p w:rsidR="0022319A" w:rsidRPr="0022319A" w:rsidRDefault="0022319A" w:rsidP="0022319A">
      <w:pPr>
        <w:spacing w:line="360" w:lineRule="auto"/>
        <w:ind w:firstLine="540"/>
        <w:jc w:val="both"/>
        <w:rPr>
          <w:sz w:val="28"/>
          <w:szCs w:val="28"/>
        </w:rPr>
      </w:pPr>
      <w:r w:rsidRPr="0022319A">
        <w:rPr>
          <w:sz w:val="28"/>
          <w:szCs w:val="28"/>
        </w:rPr>
        <w:t>Данные об операциях небанковского сектора частично предоставляются Госкомстатом России. В частности, это касается отчетности по прямым инвестициям в Россию. Кроме того, в платежный баланс включаются данные ГТК об экспортных кредитах предприятий, связанных с отсрочками платежей и авансовыми поступлениями по экспорту. Информация об аналогичных расчетах по импортным операциям отсутствует до введения в действие валютного контроля за ними.</w:t>
      </w:r>
    </w:p>
    <w:p w:rsidR="0022319A" w:rsidRDefault="0022319A" w:rsidP="0022319A">
      <w:pPr>
        <w:spacing w:line="360" w:lineRule="auto"/>
        <w:ind w:firstLine="540"/>
        <w:jc w:val="both"/>
        <w:rPr>
          <w:sz w:val="28"/>
          <w:szCs w:val="28"/>
        </w:rPr>
      </w:pPr>
      <w:r w:rsidRPr="0022319A">
        <w:rPr>
          <w:sz w:val="28"/>
          <w:szCs w:val="28"/>
        </w:rPr>
        <w:t>Операции с резервными активами определяются на основании данных Центрального Банка России и Минфина России.</w:t>
      </w:r>
    </w:p>
    <w:p w:rsidR="00B529C6" w:rsidRDefault="00B529C6" w:rsidP="0022319A">
      <w:pPr>
        <w:spacing w:line="360" w:lineRule="auto"/>
        <w:ind w:firstLine="540"/>
        <w:jc w:val="both"/>
        <w:rPr>
          <w:sz w:val="28"/>
          <w:szCs w:val="28"/>
        </w:rPr>
      </w:pPr>
    </w:p>
    <w:p w:rsidR="00B529C6" w:rsidRDefault="00B529C6" w:rsidP="0022319A">
      <w:pPr>
        <w:spacing w:line="360" w:lineRule="auto"/>
        <w:ind w:firstLine="540"/>
        <w:jc w:val="both"/>
        <w:rPr>
          <w:sz w:val="28"/>
          <w:szCs w:val="28"/>
        </w:rPr>
      </w:pPr>
    </w:p>
    <w:p w:rsidR="00B529C6" w:rsidRDefault="00B529C6" w:rsidP="0022319A">
      <w:pPr>
        <w:spacing w:line="360" w:lineRule="auto"/>
        <w:ind w:firstLine="540"/>
        <w:jc w:val="both"/>
        <w:rPr>
          <w:sz w:val="28"/>
          <w:szCs w:val="28"/>
        </w:rPr>
      </w:pPr>
    </w:p>
    <w:p w:rsidR="0022319A" w:rsidRPr="00B529C6" w:rsidRDefault="00B529C6" w:rsidP="00B529C6">
      <w:pPr>
        <w:spacing w:line="360" w:lineRule="auto"/>
        <w:ind w:firstLine="540"/>
        <w:jc w:val="center"/>
        <w:rPr>
          <w:b/>
          <w:sz w:val="28"/>
          <w:szCs w:val="28"/>
        </w:rPr>
      </w:pPr>
      <w:r w:rsidRPr="00B529C6">
        <w:rPr>
          <w:b/>
          <w:sz w:val="28"/>
          <w:szCs w:val="28"/>
        </w:rPr>
        <w:t>2. Статистика денежного обращения.</w:t>
      </w:r>
    </w:p>
    <w:p w:rsidR="00A5313E" w:rsidRPr="00A5313E" w:rsidRDefault="00A5313E" w:rsidP="00A5313E">
      <w:pPr>
        <w:spacing w:line="360" w:lineRule="auto"/>
        <w:ind w:firstLine="540"/>
        <w:jc w:val="both"/>
        <w:rPr>
          <w:sz w:val="28"/>
          <w:szCs w:val="28"/>
        </w:rPr>
      </w:pPr>
      <w:r>
        <w:t xml:space="preserve">   </w:t>
      </w:r>
      <w:r w:rsidRPr="00A5313E">
        <w:rPr>
          <w:sz w:val="28"/>
          <w:szCs w:val="28"/>
        </w:rPr>
        <w:t>Предметом изучения статистики  денежного  обращения  и  кредита  является</w:t>
      </w:r>
      <w:r>
        <w:rPr>
          <w:sz w:val="28"/>
          <w:szCs w:val="28"/>
        </w:rPr>
        <w:t xml:space="preserve"> </w:t>
      </w:r>
      <w:r w:rsidRPr="00A5313E">
        <w:rPr>
          <w:sz w:val="28"/>
          <w:szCs w:val="28"/>
        </w:rPr>
        <w:t>количественная характеристика массовых явлений в сф</w:t>
      </w:r>
      <w:r>
        <w:rPr>
          <w:sz w:val="28"/>
          <w:szCs w:val="28"/>
        </w:rPr>
        <w:t xml:space="preserve">ере </w:t>
      </w:r>
      <w:r w:rsidRPr="00A5313E">
        <w:rPr>
          <w:sz w:val="28"/>
          <w:szCs w:val="28"/>
        </w:rPr>
        <w:t>денежного  обращения</w:t>
      </w:r>
      <w:r>
        <w:rPr>
          <w:sz w:val="28"/>
          <w:szCs w:val="28"/>
        </w:rPr>
        <w:t xml:space="preserve"> </w:t>
      </w:r>
      <w:r w:rsidRPr="00A5313E">
        <w:rPr>
          <w:sz w:val="28"/>
          <w:szCs w:val="28"/>
        </w:rPr>
        <w:t>и кредитных отношений.</w:t>
      </w:r>
    </w:p>
    <w:p w:rsidR="00A5313E" w:rsidRPr="00A5313E" w:rsidRDefault="00A5313E" w:rsidP="00A5313E">
      <w:pPr>
        <w:spacing w:line="360" w:lineRule="auto"/>
        <w:ind w:firstLine="540"/>
        <w:jc w:val="both"/>
        <w:rPr>
          <w:sz w:val="28"/>
          <w:szCs w:val="28"/>
        </w:rPr>
      </w:pPr>
      <w:r w:rsidRPr="00A5313E">
        <w:rPr>
          <w:sz w:val="28"/>
          <w:szCs w:val="28"/>
        </w:rPr>
        <w:t xml:space="preserve"> Денежное обращение - это движение денег во внутреннем обороте в наличной и</w:t>
      </w:r>
      <w:r>
        <w:rPr>
          <w:sz w:val="28"/>
          <w:szCs w:val="28"/>
        </w:rPr>
        <w:t xml:space="preserve"> </w:t>
      </w:r>
      <w:r w:rsidRPr="00A5313E">
        <w:rPr>
          <w:sz w:val="28"/>
          <w:szCs w:val="28"/>
        </w:rPr>
        <w:t>безналичной  формах  в  процессе  обращения  товаров,   оказания   услуг   и</w:t>
      </w:r>
      <w:r>
        <w:rPr>
          <w:sz w:val="28"/>
          <w:szCs w:val="28"/>
        </w:rPr>
        <w:t xml:space="preserve"> </w:t>
      </w:r>
      <w:r w:rsidRPr="00A5313E">
        <w:rPr>
          <w:sz w:val="28"/>
          <w:szCs w:val="28"/>
        </w:rPr>
        <w:t>совершения различных платежей. Денежное  обращение  охватывает  движение  не</w:t>
      </w:r>
      <w:r>
        <w:rPr>
          <w:sz w:val="28"/>
          <w:szCs w:val="28"/>
        </w:rPr>
        <w:t xml:space="preserve"> </w:t>
      </w:r>
      <w:r w:rsidRPr="00A5313E">
        <w:rPr>
          <w:sz w:val="28"/>
          <w:szCs w:val="28"/>
        </w:rPr>
        <w:t>только то</w:t>
      </w:r>
      <w:r>
        <w:rPr>
          <w:sz w:val="28"/>
          <w:szCs w:val="28"/>
        </w:rPr>
        <w:t xml:space="preserve">варов и услуг, но и ссудного и  </w:t>
      </w:r>
      <w:r w:rsidRPr="00A5313E">
        <w:rPr>
          <w:sz w:val="28"/>
          <w:szCs w:val="28"/>
        </w:rPr>
        <w:t>фиктивного  капитала.  Значительная</w:t>
      </w:r>
      <w:r>
        <w:rPr>
          <w:sz w:val="28"/>
          <w:szCs w:val="28"/>
        </w:rPr>
        <w:t xml:space="preserve"> </w:t>
      </w:r>
      <w:r w:rsidRPr="00A5313E">
        <w:rPr>
          <w:sz w:val="28"/>
          <w:szCs w:val="28"/>
        </w:rPr>
        <w:t>часть платёжного оборота в  странах  с  рыночной  экономикой  приходится  на</w:t>
      </w:r>
      <w:r>
        <w:rPr>
          <w:sz w:val="28"/>
          <w:szCs w:val="28"/>
        </w:rPr>
        <w:t xml:space="preserve"> </w:t>
      </w:r>
      <w:r w:rsidRPr="00A5313E">
        <w:rPr>
          <w:sz w:val="28"/>
          <w:szCs w:val="28"/>
        </w:rPr>
        <w:t>финансовые операции, т.е.  на  сделки  с  различными  видами  ценных  бумаг,</w:t>
      </w:r>
      <w:r>
        <w:rPr>
          <w:sz w:val="28"/>
          <w:szCs w:val="28"/>
        </w:rPr>
        <w:t xml:space="preserve"> </w:t>
      </w:r>
      <w:r w:rsidRPr="00A5313E">
        <w:rPr>
          <w:sz w:val="28"/>
          <w:szCs w:val="28"/>
        </w:rPr>
        <w:t>ссудные операции, налоговые платежи  и  прочие  финансовые  сделки,  большая</w:t>
      </w:r>
      <w:r>
        <w:rPr>
          <w:sz w:val="28"/>
          <w:szCs w:val="28"/>
        </w:rPr>
        <w:t xml:space="preserve"> </w:t>
      </w:r>
      <w:r w:rsidRPr="00A5313E">
        <w:rPr>
          <w:sz w:val="28"/>
          <w:szCs w:val="28"/>
        </w:rPr>
        <w:t>часть денежного оборота осуществляется в безналичной форме,  что  связано  с</w:t>
      </w:r>
      <w:r>
        <w:rPr>
          <w:sz w:val="28"/>
          <w:szCs w:val="28"/>
        </w:rPr>
        <w:t xml:space="preserve"> </w:t>
      </w:r>
      <w:r w:rsidRPr="00A5313E">
        <w:rPr>
          <w:sz w:val="28"/>
          <w:szCs w:val="28"/>
        </w:rPr>
        <w:t>резким увеличением платежно-расчетных операций.</w:t>
      </w:r>
    </w:p>
    <w:p w:rsidR="00A5313E" w:rsidRPr="00A5313E" w:rsidRDefault="00A5313E" w:rsidP="00A5313E">
      <w:pPr>
        <w:spacing w:line="360" w:lineRule="auto"/>
        <w:ind w:firstLine="540"/>
        <w:jc w:val="both"/>
        <w:rPr>
          <w:sz w:val="28"/>
          <w:szCs w:val="28"/>
        </w:rPr>
      </w:pPr>
      <w:r w:rsidRPr="00A5313E">
        <w:rPr>
          <w:sz w:val="28"/>
          <w:szCs w:val="28"/>
        </w:rPr>
        <w:t xml:space="preserve">   Кредит- предоставление на основе возвратности и  возмездности  финансовых</w:t>
      </w:r>
      <w:r>
        <w:rPr>
          <w:sz w:val="28"/>
          <w:szCs w:val="28"/>
        </w:rPr>
        <w:t xml:space="preserve"> </w:t>
      </w:r>
      <w:r w:rsidRPr="00A5313E">
        <w:rPr>
          <w:sz w:val="28"/>
          <w:szCs w:val="28"/>
        </w:rPr>
        <w:t>ресурсов одним хозяйствующим субъектом другому.</w:t>
      </w:r>
    </w:p>
    <w:p w:rsidR="00A5313E" w:rsidRPr="00A5313E" w:rsidRDefault="00A5313E" w:rsidP="00A5313E">
      <w:pPr>
        <w:spacing w:line="360" w:lineRule="auto"/>
        <w:ind w:firstLine="540"/>
        <w:jc w:val="both"/>
        <w:rPr>
          <w:sz w:val="28"/>
          <w:szCs w:val="28"/>
        </w:rPr>
      </w:pPr>
      <w:r w:rsidRPr="00A5313E">
        <w:rPr>
          <w:sz w:val="28"/>
          <w:szCs w:val="28"/>
        </w:rPr>
        <w:t xml:space="preserve">   Денежно-кредитное   регулиров</w:t>
      </w:r>
      <w:r>
        <w:rPr>
          <w:sz w:val="28"/>
          <w:szCs w:val="28"/>
        </w:rPr>
        <w:t xml:space="preserve">ание-   система   мероприятий   </w:t>
      </w:r>
      <w:r w:rsidRPr="00A5313E">
        <w:rPr>
          <w:sz w:val="28"/>
          <w:szCs w:val="28"/>
        </w:rPr>
        <w:t>государства,</w:t>
      </w:r>
      <w:r>
        <w:rPr>
          <w:sz w:val="28"/>
          <w:szCs w:val="28"/>
        </w:rPr>
        <w:t xml:space="preserve"> </w:t>
      </w:r>
      <w:r w:rsidRPr="00A5313E">
        <w:rPr>
          <w:sz w:val="28"/>
          <w:szCs w:val="28"/>
        </w:rPr>
        <w:t>направленная  на  стабилизацию  денежного   обращения,   валютной   системы,</w:t>
      </w:r>
      <w:r>
        <w:rPr>
          <w:sz w:val="28"/>
          <w:szCs w:val="28"/>
        </w:rPr>
        <w:t xml:space="preserve"> </w:t>
      </w:r>
      <w:r w:rsidRPr="00A5313E">
        <w:rPr>
          <w:sz w:val="28"/>
          <w:szCs w:val="28"/>
        </w:rPr>
        <w:t>улучшение  функционирования  кредитной  системы.  Путём  изменения  денежной</w:t>
      </w:r>
      <w:r>
        <w:rPr>
          <w:sz w:val="28"/>
          <w:szCs w:val="28"/>
        </w:rPr>
        <w:t xml:space="preserve"> </w:t>
      </w:r>
      <w:r w:rsidRPr="00A5313E">
        <w:rPr>
          <w:sz w:val="28"/>
          <w:szCs w:val="28"/>
        </w:rPr>
        <w:t>массы кредитных ресурсов государство воздействует на  экономику.  Конкретный</w:t>
      </w:r>
      <w:r>
        <w:rPr>
          <w:sz w:val="28"/>
          <w:szCs w:val="28"/>
        </w:rPr>
        <w:t xml:space="preserve"> </w:t>
      </w:r>
      <w:r w:rsidRPr="00A5313E">
        <w:rPr>
          <w:sz w:val="28"/>
          <w:szCs w:val="28"/>
        </w:rPr>
        <w:t>механизм  такого  воздействия   корректируется   в   связи   с   колебаниями</w:t>
      </w:r>
      <w:r>
        <w:rPr>
          <w:sz w:val="28"/>
          <w:szCs w:val="28"/>
        </w:rPr>
        <w:t xml:space="preserve"> </w:t>
      </w:r>
      <w:r w:rsidRPr="00A5313E">
        <w:rPr>
          <w:sz w:val="28"/>
          <w:szCs w:val="28"/>
        </w:rPr>
        <w:t>экономической   конъюнктуры.   Центральный   банк   при    денежно-кредитном</w:t>
      </w:r>
      <w:r>
        <w:rPr>
          <w:sz w:val="28"/>
          <w:szCs w:val="28"/>
        </w:rPr>
        <w:t xml:space="preserve"> </w:t>
      </w:r>
      <w:r w:rsidRPr="00A5313E">
        <w:rPr>
          <w:sz w:val="28"/>
          <w:szCs w:val="28"/>
        </w:rPr>
        <w:t>регулировании использует такие приёмы,  как  регулирование  учётной  ставки,</w:t>
      </w:r>
      <w:r>
        <w:rPr>
          <w:sz w:val="28"/>
          <w:szCs w:val="28"/>
        </w:rPr>
        <w:t xml:space="preserve"> </w:t>
      </w:r>
      <w:r w:rsidRPr="00A5313E">
        <w:rPr>
          <w:sz w:val="28"/>
          <w:szCs w:val="28"/>
        </w:rPr>
        <w:t>изменение  нормы  обязательных  резервов  банков,  проведение   операций   с</w:t>
      </w:r>
      <w:r>
        <w:rPr>
          <w:sz w:val="28"/>
          <w:szCs w:val="28"/>
        </w:rPr>
        <w:t xml:space="preserve"> </w:t>
      </w:r>
      <w:r w:rsidRPr="00A5313E">
        <w:rPr>
          <w:sz w:val="28"/>
          <w:szCs w:val="28"/>
        </w:rPr>
        <w:t>государственными ценными бумагами.</w:t>
      </w:r>
    </w:p>
    <w:p w:rsidR="00A5313E" w:rsidRPr="00A5313E" w:rsidRDefault="00A5313E" w:rsidP="00A5313E">
      <w:pPr>
        <w:spacing w:line="360" w:lineRule="auto"/>
        <w:ind w:firstLine="540"/>
        <w:jc w:val="both"/>
        <w:rPr>
          <w:sz w:val="28"/>
          <w:szCs w:val="28"/>
        </w:rPr>
      </w:pPr>
      <w:r w:rsidRPr="00A5313E">
        <w:rPr>
          <w:sz w:val="28"/>
          <w:szCs w:val="28"/>
        </w:rPr>
        <w:t xml:space="preserve">   Задачами статистики денежного обращения и кредита являются:</w:t>
      </w:r>
    </w:p>
    <w:p w:rsidR="00A5313E" w:rsidRPr="00A5313E" w:rsidRDefault="00A5313E" w:rsidP="00A5313E">
      <w:pPr>
        <w:spacing w:line="360" w:lineRule="auto"/>
        <w:jc w:val="both"/>
        <w:rPr>
          <w:sz w:val="28"/>
          <w:szCs w:val="28"/>
        </w:rPr>
      </w:pPr>
      <w:r w:rsidRPr="00A5313E">
        <w:rPr>
          <w:sz w:val="28"/>
          <w:szCs w:val="28"/>
        </w:rPr>
        <w:t xml:space="preserve">   -определение размеров денежной массы и её структуры;</w:t>
      </w:r>
    </w:p>
    <w:p w:rsidR="00A5313E" w:rsidRPr="00A5313E" w:rsidRDefault="00A5313E" w:rsidP="00A5313E">
      <w:pPr>
        <w:spacing w:line="360" w:lineRule="auto"/>
        <w:jc w:val="both"/>
        <w:rPr>
          <w:sz w:val="28"/>
          <w:szCs w:val="28"/>
        </w:rPr>
      </w:pPr>
      <w:r w:rsidRPr="00A5313E">
        <w:rPr>
          <w:sz w:val="28"/>
          <w:szCs w:val="28"/>
        </w:rPr>
        <w:t xml:space="preserve">   -отображение  денежного  обращения  и  оценка   факторов,   влияющих   на</w:t>
      </w:r>
    </w:p>
    <w:p w:rsidR="00A5313E" w:rsidRPr="00A5313E" w:rsidRDefault="00A5313E" w:rsidP="00A5313E">
      <w:pPr>
        <w:spacing w:line="360" w:lineRule="auto"/>
        <w:jc w:val="both"/>
        <w:rPr>
          <w:sz w:val="28"/>
          <w:szCs w:val="28"/>
        </w:rPr>
      </w:pPr>
      <w:r w:rsidRPr="00A5313E">
        <w:rPr>
          <w:sz w:val="28"/>
          <w:szCs w:val="28"/>
        </w:rPr>
        <w:t>обесценение денег;</w:t>
      </w:r>
    </w:p>
    <w:p w:rsidR="00A5313E" w:rsidRPr="00A5313E" w:rsidRDefault="00A5313E" w:rsidP="00A5313E">
      <w:pPr>
        <w:spacing w:line="360" w:lineRule="auto"/>
        <w:jc w:val="both"/>
        <w:rPr>
          <w:sz w:val="28"/>
          <w:szCs w:val="28"/>
        </w:rPr>
      </w:pPr>
      <w:r w:rsidRPr="00A5313E">
        <w:rPr>
          <w:sz w:val="28"/>
          <w:szCs w:val="28"/>
        </w:rPr>
        <w:t xml:space="preserve">   -характеристика кредитной политики;</w:t>
      </w:r>
    </w:p>
    <w:p w:rsidR="00A5313E" w:rsidRPr="00A5313E" w:rsidRDefault="00A5313E" w:rsidP="00A5313E">
      <w:pPr>
        <w:spacing w:line="360" w:lineRule="auto"/>
        <w:jc w:val="both"/>
        <w:rPr>
          <w:sz w:val="28"/>
          <w:szCs w:val="28"/>
        </w:rPr>
      </w:pPr>
      <w:r w:rsidRPr="00A5313E">
        <w:rPr>
          <w:sz w:val="28"/>
          <w:szCs w:val="28"/>
        </w:rPr>
        <w:t xml:space="preserve">   -статистическое изучение форм кредита;</w:t>
      </w:r>
    </w:p>
    <w:p w:rsidR="00A5313E" w:rsidRPr="00A5313E" w:rsidRDefault="00A5313E" w:rsidP="00A5313E">
      <w:pPr>
        <w:spacing w:line="360" w:lineRule="auto"/>
        <w:jc w:val="both"/>
        <w:rPr>
          <w:sz w:val="28"/>
          <w:szCs w:val="28"/>
        </w:rPr>
      </w:pPr>
      <w:r w:rsidRPr="00A5313E">
        <w:rPr>
          <w:sz w:val="28"/>
          <w:szCs w:val="28"/>
        </w:rPr>
        <w:t xml:space="preserve">   -изучение ссудного процента.</w:t>
      </w:r>
    </w:p>
    <w:p w:rsidR="00A5313E" w:rsidRPr="00A5313E" w:rsidRDefault="00A5313E" w:rsidP="00A5313E">
      <w:pPr>
        <w:spacing w:line="360" w:lineRule="auto"/>
        <w:ind w:firstLine="540"/>
        <w:jc w:val="both"/>
        <w:rPr>
          <w:sz w:val="28"/>
          <w:szCs w:val="28"/>
        </w:rPr>
      </w:pPr>
      <w:r w:rsidRPr="00A5313E">
        <w:rPr>
          <w:sz w:val="28"/>
          <w:szCs w:val="28"/>
        </w:rPr>
        <w:t xml:space="preserve">   Система статистических показателей, характеризующих  денежное  обращение,</w:t>
      </w:r>
      <w:r>
        <w:rPr>
          <w:sz w:val="28"/>
          <w:szCs w:val="28"/>
        </w:rPr>
        <w:t xml:space="preserve"> </w:t>
      </w:r>
      <w:r w:rsidRPr="00A5313E">
        <w:rPr>
          <w:sz w:val="28"/>
          <w:szCs w:val="28"/>
        </w:rPr>
        <w:t>основывается на  категориях,  связанных  с  функциями  денег,  определениями</w:t>
      </w:r>
      <w:r>
        <w:rPr>
          <w:sz w:val="28"/>
          <w:szCs w:val="28"/>
        </w:rPr>
        <w:t xml:space="preserve"> </w:t>
      </w:r>
      <w:r w:rsidRPr="00A5313E">
        <w:rPr>
          <w:sz w:val="28"/>
          <w:szCs w:val="28"/>
        </w:rPr>
        <w:t>денежной массы и её структуры.</w:t>
      </w:r>
    </w:p>
    <w:p w:rsidR="00A5313E" w:rsidRPr="00A5313E" w:rsidRDefault="00A5313E" w:rsidP="00A5313E">
      <w:pPr>
        <w:spacing w:line="360" w:lineRule="auto"/>
        <w:ind w:firstLine="540"/>
        <w:jc w:val="both"/>
        <w:rPr>
          <w:sz w:val="28"/>
          <w:szCs w:val="28"/>
        </w:rPr>
      </w:pPr>
      <w:r w:rsidRPr="00A5313E">
        <w:rPr>
          <w:sz w:val="28"/>
          <w:szCs w:val="28"/>
        </w:rPr>
        <w:t xml:space="preserve">   Деньги выполняют меры стоимости, средства  обращения,  средства  платежа,</w:t>
      </w:r>
      <w:r>
        <w:rPr>
          <w:sz w:val="28"/>
          <w:szCs w:val="28"/>
        </w:rPr>
        <w:t xml:space="preserve"> </w:t>
      </w:r>
      <w:r w:rsidRPr="00A5313E">
        <w:rPr>
          <w:sz w:val="28"/>
          <w:szCs w:val="28"/>
        </w:rPr>
        <w:t>средства накопления и сбережения. Во внешнеэкономических  отношениях  деньги</w:t>
      </w:r>
      <w:r>
        <w:rPr>
          <w:sz w:val="28"/>
          <w:szCs w:val="28"/>
        </w:rPr>
        <w:t xml:space="preserve"> </w:t>
      </w:r>
      <w:r w:rsidRPr="00A5313E">
        <w:rPr>
          <w:sz w:val="28"/>
          <w:szCs w:val="28"/>
        </w:rPr>
        <w:t>функционируют как мировые деньги.</w:t>
      </w:r>
    </w:p>
    <w:p w:rsidR="00A5313E" w:rsidRPr="00A5313E" w:rsidRDefault="00A5313E" w:rsidP="00A5313E">
      <w:pPr>
        <w:spacing w:line="360" w:lineRule="auto"/>
        <w:ind w:firstLine="540"/>
        <w:jc w:val="both"/>
        <w:rPr>
          <w:sz w:val="28"/>
          <w:szCs w:val="28"/>
        </w:rPr>
      </w:pPr>
      <w:r w:rsidRPr="00A5313E">
        <w:rPr>
          <w:sz w:val="28"/>
          <w:szCs w:val="28"/>
        </w:rPr>
        <w:t xml:space="preserve">   В соответствии  с  указанными  функциями  система  показателей  денежного</w:t>
      </w:r>
      <w:r>
        <w:rPr>
          <w:sz w:val="28"/>
          <w:szCs w:val="28"/>
        </w:rPr>
        <w:t xml:space="preserve"> </w:t>
      </w:r>
      <w:r w:rsidRPr="00A5313E">
        <w:rPr>
          <w:sz w:val="28"/>
          <w:szCs w:val="28"/>
        </w:rPr>
        <w:t>обращения включает следующие показатели:</w:t>
      </w:r>
    </w:p>
    <w:p w:rsidR="00A5313E" w:rsidRPr="00A5313E" w:rsidRDefault="00A5313E" w:rsidP="00A5313E">
      <w:pPr>
        <w:spacing w:line="360" w:lineRule="auto"/>
        <w:jc w:val="both"/>
        <w:rPr>
          <w:sz w:val="28"/>
          <w:szCs w:val="28"/>
        </w:rPr>
      </w:pPr>
      <w:r w:rsidRPr="00A5313E">
        <w:rPr>
          <w:sz w:val="28"/>
          <w:szCs w:val="28"/>
        </w:rPr>
        <w:t xml:space="preserve">   -денежная масса и её структура;</w:t>
      </w:r>
    </w:p>
    <w:p w:rsidR="00A5313E" w:rsidRPr="00A5313E" w:rsidRDefault="00A5313E" w:rsidP="00A5313E">
      <w:pPr>
        <w:spacing w:line="360" w:lineRule="auto"/>
        <w:jc w:val="both"/>
        <w:rPr>
          <w:sz w:val="28"/>
          <w:szCs w:val="28"/>
        </w:rPr>
      </w:pPr>
      <w:r w:rsidRPr="00A5313E">
        <w:rPr>
          <w:sz w:val="28"/>
          <w:szCs w:val="28"/>
        </w:rPr>
        <w:t xml:space="preserve">   -обеспеченность денежными  знаками  обращения  национальной  экономики  и</w:t>
      </w:r>
      <w:r>
        <w:rPr>
          <w:sz w:val="28"/>
          <w:szCs w:val="28"/>
        </w:rPr>
        <w:t xml:space="preserve"> </w:t>
      </w:r>
      <w:r w:rsidRPr="00A5313E">
        <w:rPr>
          <w:sz w:val="28"/>
          <w:szCs w:val="28"/>
        </w:rPr>
        <w:t>покупательная способность денежной единицы (национальной валюты);</w:t>
      </w:r>
    </w:p>
    <w:p w:rsidR="00A5313E" w:rsidRPr="00A5313E" w:rsidRDefault="00A5313E" w:rsidP="00A5313E">
      <w:pPr>
        <w:spacing w:line="360" w:lineRule="auto"/>
        <w:jc w:val="both"/>
        <w:rPr>
          <w:sz w:val="28"/>
          <w:szCs w:val="28"/>
        </w:rPr>
      </w:pPr>
      <w:r w:rsidRPr="00A5313E">
        <w:rPr>
          <w:sz w:val="28"/>
          <w:szCs w:val="28"/>
        </w:rPr>
        <w:t xml:space="preserve">   -показатели, отражающие операции на счетах, с депозитами, золотым запасом</w:t>
      </w:r>
      <w:r>
        <w:rPr>
          <w:sz w:val="28"/>
          <w:szCs w:val="28"/>
        </w:rPr>
        <w:t xml:space="preserve"> </w:t>
      </w:r>
      <w:r w:rsidRPr="00A5313E">
        <w:rPr>
          <w:sz w:val="28"/>
          <w:szCs w:val="28"/>
        </w:rPr>
        <w:t>государства;</w:t>
      </w:r>
    </w:p>
    <w:p w:rsidR="00A5313E" w:rsidRPr="00A5313E" w:rsidRDefault="00A5313E" w:rsidP="00A5313E">
      <w:pPr>
        <w:spacing w:line="360" w:lineRule="auto"/>
        <w:jc w:val="both"/>
        <w:rPr>
          <w:sz w:val="28"/>
          <w:szCs w:val="28"/>
        </w:rPr>
      </w:pPr>
      <w:r w:rsidRPr="00A5313E">
        <w:rPr>
          <w:sz w:val="28"/>
          <w:szCs w:val="28"/>
        </w:rPr>
        <w:t xml:space="preserve">   -показатели, отражающие опер</w:t>
      </w:r>
      <w:r>
        <w:rPr>
          <w:sz w:val="28"/>
          <w:szCs w:val="28"/>
        </w:rPr>
        <w:t xml:space="preserve">ации с валютой в международных </w:t>
      </w:r>
      <w:r w:rsidRPr="00A5313E">
        <w:rPr>
          <w:sz w:val="28"/>
          <w:szCs w:val="28"/>
        </w:rPr>
        <w:t>экономических</w:t>
      </w:r>
      <w:r>
        <w:rPr>
          <w:sz w:val="28"/>
          <w:szCs w:val="28"/>
        </w:rPr>
        <w:t xml:space="preserve"> </w:t>
      </w:r>
      <w:r w:rsidRPr="00A5313E">
        <w:rPr>
          <w:sz w:val="28"/>
          <w:szCs w:val="28"/>
        </w:rPr>
        <w:t>отношениях. В  процессе  обращения  товаров,  оказания  услуг  и  совершения</w:t>
      </w:r>
      <w:r>
        <w:rPr>
          <w:sz w:val="28"/>
          <w:szCs w:val="28"/>
        </w:rPr>
        <w:t xml:space="preserve"> </w:t>
      </w:r>
      <w:r w:rsidRPr="00A5313E">
        <w:rPr>
          <w:sz w:val="28"/>
          <w:szCs w:val="28"/>
        </w:rPr>
        <w:t>различных платежей осуществляется движение денег  во  внутреннем  обороте  в</w:t>
      </w:r>
      <w:r>
        <w:rPr>
          <w:sz w:val="28"/>
          <w:szCs w:val="28"/>
        </w:rPr>
        <w:t xml:space="preserve"> </w:t>
      </w:r>
      <w:r w:rsidRPr="00A5313E">
        <w:rPr>
          <w:sz w:val="28"/>
          <w:szCs w:val="28"/>
        </w:rPr>
        <w:t>наличной и безличной  формах.  Всю  денежную  массу  можно  представить  как</w:t>
      </w:r>
      <w:r>
        <w:rPr>
          <w:sz w:val="28"/>
          <w:szCs w:val="28"/>
        </w:rPr>
        <w:t xml:space="preserve"> </w:t>
      </w:r>
      <w:r w:rsidRPr="00A5313E">
        <w:rPr>
          <w:sz w:val="28"/>
          <w:szCs w:val="28"/>
        </w:rPr>
        <w:t>совокупный денежный агрегат (М3), включающий  в  качестве  составных  частей</w:t>
      </w:r>
      <w:r>
        <w:rPr>
          <w:sz w:val="28"/>
          <w:szCs w:val="28"/>
        </w:rPr>
        <w:t xml:space="preserve"> </w:t>
      </w:r>
      <w:r w:rsidRPr="00A5313E">
        <w:rPr>
          <w:sz w:val="28"/>
          <w:szCs w:val="28"/>
        </w:rPr>
        <w:t>денежные  агрегаты  М0,  М1,  М2.  При  построении  этих  агрегатов   каждая</w:t>
      </w:r>
      <w:r>
        <w:rPr>
          <w:sz w:val="28"/>
          <w:szCs w:val="28"/>
        </w:rPr>
        <w:t xml:space="preserve"> </w:t>
      </w:r>
      <w:r w:rsidRPr="00A5313E">
        <w:rPr>
          <w:sz w:val="28"/>
          <w:szCs w:val="28"/>
        </w:rPr>
        <w:t>последующая величина возрастает на предыдущую.</w:t>
      </w:r>
    </w:p>
    <w:p w:rsidR="00A5313E" w:rsidRPr="00A5313E" w:rsidRDefault="00A5313E" w:rsidP="00A5313E">
      <w:pPr>
        <w:spacing w:line="360" w:lineRule="auto"/>
        <w:ind w:firstLine="540"/>
        <w:jc w:val="both"/>
        <w:rPr>
          <w:sz w:val="28"/>
          <w:szCs w:val="28"/>
        </w:rPr>
      </w:pPr>
      <w:r w:rsidRPr="00A5313E">
        <w:rPr>
          <w:sz w:val="28"/>
          <w:szCs w:val="28"/>
        </w:rPr>
        <w:t xml:space="preserve">   М3-денежная масса в обороте, измеряемая совокупным объёмом  покупательных</w:t>
      </w:r>
      <w:r>
        <w:rPr>
          <w:sz w:val="28"/>
          <w:szCs w:val="28"/>
        </w:rPr>
        <w:t xml:space="preserve"> </w:t>
      </w:r>
      <w:r w:rsidRPr="00A5313E">
        <w:rPr>
          <w:sz w:val="28"/>
          <w:szCs w:val="28"/>
        </w:rPr>
        <w:t>и платёжных средств,  обслуживающих  хозяйственный  оборот  и  принадлежащих</w:t>
      </w:r>
      <w:r>
        <w:rPr>
          <w:sz w:val="28"/>
          <w:szCs w:val="28"/>
        </w:rPr>
        <w:t xml:space="preserve"> </w:t>
      </w:r>
      <w:r w:rsidRPr="00A5313E">
        <w:rPr>
          <w:sz w:val="28"/>
          <w:szCs w:val="28"/>
        </w:rPr>
        <w:t>частным   лицам,   предприятиям   и    государству    (кроме    центрального</w:t>
      </w:r>
      <w:r>
        <w:rPr>
          <w:sz w:val="28"/>
          <w:szCs w:val="28"/>
        </w:rPr>
        <w:t xml:space="preserve"> </w:t>
      </w:r>
      <w:r w:rsidRPr="00A5313E">
        <w:rPr>
          <w:sz w:val="28"/>
          <w:szCs w:val="28"/>
        </w:rPr>
        <w:t>правительства).</w:t>
      </w:r>
    </w:p>
    <w:p w:rsidR="00A5313E" w:rsidRDefault="00A5313E" w:rsidP="00A5313E">
      <w:pPr>
        <w:spacing w:line="360" w:lineRule="auto"/>
        <w:jc w:val="both"/>
        <w:rPr>
          <w:sz w:val="28"/>
          <w:szCs w:val="28"/>
        </w:rPr>
      </w:pPr>
      <w:r w:rsidRPr="00A5313E">
        <w:rPr>
          <w:sz w:val="28"/>
          <w:szCs w:val="28"/>
        </w:rPr>
        <w:t xml:space="preserve">   Переход от денежного агрегата М0  к  денежному  агрегату  М3  на  примере</w:t>
      </w:r>
      <w:r>
        <w:rPr>
          <w:sz w:val="28"/>
          <w:szCs w:val="28"/>
        </w:rPr>
        <w:t xml:space="preserve"> стандартов МВФ показан в табл. 2.1,</w:t>
      </w:r>
    </w:p>
    <w:p w:rsidR="00A5313E" w:rsidRDefault="00A5313E" w:rsidP="00A5313E">
      <w:pPr>
        <w:spacing w:line="360" w:lineRule="auto"/>
        <w:jc w:val="right"/>
        <w:rPr>
          <w:sz w:val="28"/>
          <w:szCs w:val="28"/>
        </w:rPr>
      </w:pPr>
      <w:r>
        <w:rPr>
          <w:sz w:val="28"/>
          <w:szCs w:val="28"/>
        </w:rPr>
        <w:t>Таблица 2.1</w:t>
      </w:r>
    </w:p>
    <w:tbl>
      <w:tblPr>
        <w:tblStyle w:val="a3"/>
        <w:tblW w:w="9288" w:type="dxa"/>
        <w:tblLook w:val="01E0" w:firstRow="1" w:lastRow="1" w:firstColumn="1" w:lastColumn="1" w:noHBand="0" w:noVBand="0"/>
      </w:tblPr>
      <w:tblGrid>
        <w:gridCol w:w="4428"/>
        <w:gridCol w:w="4860"/>
      </w:tblGrid>
      <w:tr w:rsidR="00A5313E">
        <w:tc>
          <w:tcPr>
            <w:tcW w:w="4428" w:type="dxa"/>
          </w:tcPr>
          <w:p w:rsidR="00A5313E" w:rsidRPr="00A5313E" w:rsidRDefault="00A5313E" w:rsidP="00A5313E">
            <w:pPr>
              <w:jc w:val="both"/>
            </w:pPr>
            <w:r w:rsidRPr="00A5313E">
              <w:t xml:space="preserve">Денежные агрегаты </w:t>
            </w:r>
            <w:r w:rsidRPr="00A5313E">
              <w:tab/>
            </w:r>
          </w:p>
        </w:tc>
        <w:tc>
          <w:tcPr>
            <w:tcW w:w="4860" w:type="dxa"/>
          </w:tcPr>
          <w:p w:rsidR="00A5313E" w:rsidRPr="00A5313E" w:rsidRDefault="00A5313E" w:rsidP="00A5313E">
            <w:pPr>
              <w:jc w:val="both"/>
            </w:pPr>
            <w:r w:rsidRPr="00A5313E">
              <w:t>Инструменты</w:t>
            </w:r>
          </w:p>
        </w:tc>
      </w:tr>
      <w:tr w:rsidR="00A5313E">
        <w:tc>
          <w:tcPr>
            <w:tcW w:w="4428" w:type="dxa"/>
          </w:tcPr>
          <w:p w:rsidR="00A5313E" w:rsidRPr="00A5313E" w:rsidRDefault="00A5313E" w:rsidP="00A5313E">
            <w:pPr>
              <w:jc w:val="both"/>
            </w:pPr>
            <w:r w:rsidRPr="00A5313E">
              <w:t xml:space="preserve">М0-наличные деньги </w:t>
            </w:r>
            <w:r w:rsidRPr="00A5313E">
              <w:tab/>
            </w:r>
          </w:p>
        </w:tc>
        <w:tc>
          <w:tcPr>
            <w:tcW w:w="4860" w:type="dxa"/>
          </w:tcPr>
          <w:p w:rsidR="00A5313E" w:rsidRPr="00A5313E" w:rsidRDefault="00A5313E" w:rsidP="00A5313E">
            <w:pPr>
              <w:jc w:val="both"/>
            </w:pPr>
            <w:r w:rsidRPr="00A5313E">
              <w:t>Национальная наличная валюта</w:t>
            </w:r>
          </w:p>
        </w:tc>
      </w:tr>
      <w:tr w:rsidR="00A5313E">
        <w:tc>
          <w:tcPr>
            <w:tcW w:w="4428" w:type="dxa"/>
          </w:tcPr>
          <w:p w:rsidR="00A5313E" w:rsidRPr="00A5313E" w:rsidRDefault="00A5313E" w:rsidP="00A5313E">
            <w:pPr>
              <w:jc w:val="both"/>
            </w:pPr>
            <w:r w:rsidRPr="00A5313E">
              <w:t>М1-- деньги в узком смысле слова</w:t>
            </w:r>
          </w:p>
        </w:tc>
        <w:tc>
          <w:tcPr>
            <w:tcW w:w="4860" w:type="dxa"/>
          </w:tcPr>
          <w:p w:rsidR="00A5313E" w:rsidRPr="00A5313E" w:rsidRDefault="00A5313E" w:rsidP="00A5313E">
            <w:pPr>
              <w:jc w:val="both"/>
            </w:pPr>
            <w:r w:rsidRPr="00A5313E">
              <w:t>М0 плюс</w:t>
            </w:r>
          </w:p>
          <w:p w:rsidR="00A5313E" w:rsidRPr="00A5313E" w:rsidRDefault="00A5313E" w:rsidP="00A5313E">
            <w:pPr>
              <w:jc w:val="both"/>
            </w:pPr>
            <w:r w:rsidRPr="00A5313E">
              <w:t>Депозиты до востребования</w:t>
            </w:r>
          </w:p>
        </w:tc>
      </w:tr>
      <w:tr w:rsidR="00A5313E">
        <w:tc>
          <w:tcPr>
            <w:tcW w:w="4428" w:type="dxa"/>
          </w:tcPr>
          <w:p w:rsidR="00A5313E" w:rsidRPr="00A5313E" w:rsidRDefault="00A5313E" w:rsidP="00A5313E">
            <w:pPr>
              <w:jc w:val="both"/>
            </w:pPr>
            <w:r w:rsidRPr="00A5313E">
              <w:t>М2- деньги в узком смысле слова плюс близкие категории</w:t>
            </w:r>
          </w:p>
        </w:tc>
        <w:tc>
          <w:tcPr>
            <w:tcW w:w="4860" w:type="dxa"/>
          </w:tcPr>
          <w:p w:rsidR="00A5313E" w:rsidRPr="00A5313E" w:rsidRDefault="00A5313E" w:rsidP="00A5313E">
            <w:pPr>
              <w:jc w:val="both"/>
            </w:pPr>
            <w:r w:rsidRPr="00A5313E">
              <w:t>М1 плюс</w:t>
            </w:r>
          </w:p>
          <w:p w:rsidR="00A5313E" w:rsidRPr="00A5313E" w:rsidRDefault="00A5313E" w:rsidP="00A5313E">
            <w:pPr>
              <w:jc w:val="both"/>
            </w:pPr>
            <w:r w:rsidRPr="00A5313E">
              <w:t>Срочные и накопительные депозиты</w:t>
            </w:r>
          </w:p>
          <w:p w:rsidR="00A5313E" w:rsidRPr="00A5313E" w:rsidRDefault="00A5313E" w:rsidP="00A5313E">
            <w:pPr>
              <w:jc w:val="both"/>
            </w:pPr>
            <w:r w:rsidRPr="00A5313E">
              <w:t>Депозиты в иностранной валюте</w:t>
            </w:r>
          </w:p>
          <w:p w:rsidR="00A5313E" w:rsidRPr="00A5313E" w:rsidRDefault="00A5313E" w:rsidP="00A5313E">
            <w:pPr>
              <w:jc w:val="both"/>
            </w:pPr>
            <w:r w:rsidRPr="00A5313E">
              <w:t>Депозитные сертификаты</w:t>
            </w:r>
          </w:p>
          <w:p w:rsidR="00A5313E" w:rsidRPr="00A5313E" w:rsidRDefault="00A5313E" w:rsidP="00A5313E">
            <w:pPr>
              <w:jc w:val="both"/>
            </w:pPr>
            <w:r w:rsidRPr="00A5313E">
              <w:t>Перекупаемые ценные бумаги</w:t>
            </w:r>
          </w:p>
          <w:p w:rsidR="00A5313E" w:rsidRPr="00A5313E" w:rsidRDefault="00A5313E" w:rsidP="00A5313E">
            <w:pPr>
              <w:jc w:val="both"/>
            </w:pPr>
            <w:r w:rsidRPr="00A5313E">
              <w:t>По соглашению</w:t>
            </w:r>
          </w:p>
        </w:tc>
      </w:tr>
      <w:tr w:rsidR="00A5313E">
        <w:tc>
          <w:tcPr>
            <w:tcW w:w="4428" w:type="dxa"/>
          </w:tcPr>
          <w:p w:rsidR="00A5313E" w:rsidRPr="00A5313E" w:rsidRDefault="00A5313E" w:rsidP="00A5313E">
            <w:pPr>
              <w:jc w:val="both"/>
            </w:pPr>
            <w:r w:rsidRPr="00A5313E">
              <w:t>М3-деньги в широком смысле слова</w:t>
            </w:r>
          </w:p>
        </w:tc>
        <w:tc>
          <w:tcPr>
            <w:tcW w:w="4860" w:type="dxa"/>
          </w:tcPr>
          <w:p w:rsidR="00A5313E" w:rsidRPr="00A5313E" w:rsidRDefault="00A5313E" w:rsidP="00A5313E">
            <w:pPr>
              <w:jc w:val="both"/>
            </w:pPr>
            <w:r w:rsidRPr="00A5313E">
              <w:t>М2 плюс</w:t>
            </w:r>
          </w:p>
          <w:p w:rsidR="00A5313E" w:rsidRPr="00A5313E" w:rsidRDefault="00A5313E" w:rsidP="00A5313E">
            <w:pPr>
              <w:jc w:val="both"/>
            </w:pPr>
            <w:r w:rsidRPr="00A5313E">
              <w:t>Дорожные чеки</w:t>
            </w:r>
          </w:p>
          <w:p w:rsidR="00A5313E" w:rsidRPr="00A5313E" w:rsidRDefault="00A5313E" w:rsidP="00A5313E">
            <w:pPr>
              <w:jc w:val="both"/>
            </w:pPr>
            <w:r w:rsidRPr="00A5313E">
              <w:t>Коммерческие бумаги</w:t>
            </w:r>
          </w:p>
        </w:tc>
      </w:tr>
      <w:tr w:rsidR="00A5313E">
        <w:tc>
          <w:tcPr>
            <w:tcW w:w="4428" w:type="dxa"/>
          </w:tcPr>
          <w:p w:rsidR="00A5313E" w:rsidRPr="00A5313E" w:rsidRDefault="00A5313E" w:rsidP="00A5313E">
            <w:pPr>
              <w:jc w:val="both"/>
            </w:pPr>
            <w:r w:rsidRPr="00A5313E">
              <w:t>от М4 к М6 или агрегат L (ликвидность)</w:t>
            </w:r>
          </w:p>
        </w:tc>
        <w:tc>
          <w:tcPr>
            <w:tcW w:w="4860" w:type="dxa"/>
          </w:tcPr>
          <w:p w:rsidR="00A5313E" w:rsidRPr="00A5313E" w:rsidRDefault="00A5313E" w:rsidP="00A5313E">
            <w:pPr>
              <w:jc w:val="both"/>
            </w:pPr>
            <w:r w:rsidRPr="00A5313E">
              <w:t>М3 плюс</w:t>
            </w:r>
          </w:p>
          <w:p w:rsidR="00A5313E" w:rsidRPr="00A5313E" w:rsidRDefault="00A5313E" w:rsidP="00A5313E">
            <w:pPr>
              <w:jc w:val="both"/>
            </w:pPr>
            <w:r w:rsidRPr="00A5313E">
              <w:t>Ликвидные государственные ценные бумаги</w:t>
            </w:r>
          </w:p>
          <w:p w:rsidR="00A5313E" w:rsidRPr="00A5313E" w:rsidRDefault="00A5313E" w:rsidP="00A5313E">
            <w:pPr>
              <w:jc w:val="both"/>
            </w:pPr>
            <w:r w:rsidRPr="00A5313E">
              <w:t>Свободно обращаемые облигации</w:t>
            </w:r>
          </w:p>
          <w:p w:rsidR="00A5313E" w:rsidRPr="00A5313E" w:rsidRDefault="00A5313E" w:rsidP="00A5313E">
            <w:pPr>
              <w:jc w:val="both"/>
            </w:pPr>
            <w:r w:rsidRPr="00A5313E">
              <w:t>Пассивы других финансовых посредников</w:t>
            </w:r>
          </w:p>
        </w:tc>
      </w:tr>
    </w:tbl>
    <w:p w:rsidR="00A5313E" w:rsidRPr="00A5313E" w:rsidRDefault="00A5313E" w:rsidP="00A5313E">
      <w:pPr>
        <w:spacing w:line="360" w:lineRule="auto"/>
        <w:jc w:val="both"/>
        <w:rPr>
          <w:sz w:val="28"/>
          <w:szCs w:val="28"/>
        </w:rPr>
      </w:pPr>
      <w:r w:rsidRPr="00A5313E">
        <w:rPr>
          <w:sz w:val="28"/>
          <w:szCs w:val="28"/>
        </w:rPr>
        <w:t xml:space="preserve">   В России исчисляется четыре показателя. В российской  практике  категория</w:t>
      </w:r>
      <w:r>
        <w:rPr>
          <w:sz w:val="28"/>
          <w:szCs w:val="28"/>
        </w:rPr>
        <w:t xml:space="preserve"> </w:t>
      </w:r>
      <w:r w:rsidRPr="00A5313E">
        <w:rPr>
          <w:sz w:val="28"/>
          <w:szCs w:val="28"/>
        </w:rPr>
        <w:t>«совокупная денежная масса» (денежный агрегат М3) как сумма всех наличных  и</w:t>
      </w:r>
      <w:r>
        <w:rPr>
          <w:sz w:val="28"/>
          <w:szCs w:val="28"/>
        </w:rPr>
        <w:t xml:space="preserve"> </w:t>
      </w:r>
      <w:r w:rsidRPr="00A5313E">
        <w:rPr>
          <w:sz w:val="28"/>
          <w:szCs w:val="28"/>
        </w:rPr>
        <w:t>безналичных  средств  в  обращении   достаточно   близка   к   международным</w:t>
      </w:r>
      <w:r>
        <w:rPr>
          <w:sz w:val="28"/>
          <w:szCs w:val="28"/>
        </w:rPr>
        <w:t xml:space="preserve"> </w:t>
      </w:r>
      <w:r w:rsidRPr="00A5313E">
        <w:rPr>
          <w:sz w:val="28"/>
          <w:szCs w:val="28"/>
        </w:rPr>
        <w:t>стандартам, хотя имеются некоторые отличия в понимании  совокупной  денежной</w:t>
      </w:r>
      <w:r>
        <w:rPr>
          <w:sz w:val="28"/>
          <w:szCs w:val="28"/>
        </w:rPr>
        <w:t xml:space="preserve"> </w:t>
      </w:r>
      <w:r w:rsidRPr="00A5313E">
        <w:rPr>
          <w:sz w:val="28"/>
          <w:szCs w:val="28"/>
        </w:rPr>
        <w:t>массы, и особенно в трактовке её составляющих - денежных агрегатов М1 и  М2.</w:t>
      </w:r>
    </w:p>
    <w:p w:rsidR="00A5313E" w:rsidRDefault="00A5313E" w:rsidP="00A5313E">
      <w:pPr>
        <w:spacing w:line="360" w:lineRule="auto"/>
        <w:ind w:firstLine="540"/>
        <w:jc w:val="both"/>
        <w:rPr>
          <w:sz w:val="28"/>
          <w:szCs w:val="28"/>
        </w:rPr>
      </w:pPr>
      <w:r w:rsidRPr="00A5313E">
        <w:rPr>
          <w:sz w:val="28"/>
          <w:szCs w:val="28"/>
        </w:rPr>
        <w:t>Так, в соответствии с международными рекомендациями в денежном  агрегате  М1</w:t>
      </w:r>
      <w:r>
        <w:rPr>
          <w:sz w:val="28"/>
          <w:szCs w:val="28"/>
        </w:rPr>
        <w:t xml:space="preserve"> </w:t>
      </w:r>
      <w:r w:rsidRPr="00A5313E">
        <w:rPr>
          <w:sz w:val="28"/>
          <w:szCs w:val="28"/>
        </w:rPr>
        <w:t>помимо М0 учитываются только вклады  до  востребования,  а  в  России  –  не</w:t>
      </w:r>
      <w:r>
        <w:rPr>
          <w:sz w:val="28"/>
          <w:szCs w:val="28"/>
        </w:rPr>
        <w:t xml:space="preserve"> </w:t>
      </w:r>
      <w:r w:rsidRPr="00A5313E">
        <w:rPr>
          <w:sz w:val="28"/>
          <w:szCs w:val="28"/>
        </w:rPr>
        <w:t>только вклады до востребования, но и срочные вклады населения и  предприятий</w:t>
      </w:r>
      <w:r>
        <w:rPr>
          <w:sz w:val="28"/>
          <w:szCs w:val="28"/>
        </w:rPr>
        <w:t xml:space="preserve"> </w:t>
      </w:r>
      <w:r w:rsidRPr="00A5313E">
        <w:rPr>
          <w:sz w:val="28"/>
          <w:szCs w:val="28"/>
        </w:rPr>
        <w:t>в коммерческих банках, а также средства на расчётных, текущих и  специальных</w:t>
      </w:r>
      <w:r>
        <w:rPr>
          <w:sz w:val="28"/>
          <w:szCs w:val="28"/>
        </w:rPr>
        <w:t xml:space="preserve"> </w:t>
      </w:r>
      <w:r w:rsidRPr="00A5313E">
        <w:rPr>
          <w:sz w:val="28"/>
          <w:szCs w:val="28"/>
        </w:rPr>
        <w:t>счетах предприятий, населения и местных бюджетов. Напротив, в  международных</w:t>
      </w:r>
      <w:r>
        <w:rPr>
          <w:sz w:val="28"/>
          <w:szCs w:val="28"/>
        </w:rPr>
        <w:t xml:space="preserve"> </w:t>
      </w:r>
      <w:r w:rsidRPr="00A5313E">
        <w:rPr>
          <w:sz w:val="28"/>
          <w:szCs w:val="28"/>
        </w:rPr>
        <w:t>рекомендациях денежный агрегат М2  по  сравнению  с  денежным  агрегатом  М1</w:t>
      </w:r>
      <w:r>
        <w:rPr>
          <w:sz w:val="28"/>
          <w:szCs w:val="28"/>
        </w:rPr>
        <w:t xml:space="preserve"> </w:t>
      </w:r>
      <w:r w:rsidRPr="00A5313E">
        <w:rPr>
          <w:sz w:val="28"/>
          <w:szCs w:val="28"/>
        </w:rPr>
        <w:t>расширяется за счёт сертификатов  и  находящихся  в  продаже  ценных  бумаг,</w:t>
      </w:r>
      <w:r>
        <w:rPr>
          <w:sz w:val="28"/>
          <w:szCs w:val="28"/>
        </w:rPr>
        <w:t xml:space="preserve"> </w:t>
      </w:r>
      <w:r w:rsidRPr="00A5313E">
        <w:rPr>
          <w:sz w:val="28"/>
          <w:szCs w:val="28"/>
        </w:rPr>
        <w:t>тогда как в российской практике сертификаты и облигации госзайма  включаются</w:t>
      </w:r>
      <w:r>
        <w:rPr>
          <w:sz w:val="28"/>
          <w:szCs w:val="28"/>
        </w:rPr>
        <w:t xml:space="preserve"> </w:t>
      </w:r>
      <w:r w:rsidRPr="00A5313E">
        <w:rPr>
          <w:sz w:val="28"/>
          <w:szCs w:val="28"/>
        </w:rPr>
        <w:t>в денежный агрегат М3.</w:t>
      </w:r>
      <w:r>
        <w:rPr>
          <w:sz w:val="28"/>
          <w:szCs w:val="28"/>
        </w:rPr>
        <w:t xml:space="preserve">  </w:t>
      </w:r>
      <w:r w:rsidRPr="00A5313E">
        <w:rPr>
          <w:sz w:val="28"/>
          <w:szCs w:val="28"/>
        </w:rPr>
        <w:t xml:space="preserve"> </w:t>
      </w:r>
    </w:p>
    <w:p w:rsidR="00A5313E" w:rsidRPr="00A5313E" w:rsidRDefault="00A5313E" w:rsidP="00A5313E">
      <w:pPr>
        <w:spacing w:line="360" w:lineRule="auto"/>
        <w:ind w:firstLine="540"/>
        <w:jc w:val="both"/>
        <w:rPr>
          <w:sz w:val="28"/>
          <w:szCs w:val="28"/>
        </w:rPr>
      </w:pPr>
      <w:r w:rsidRPr="00A5313E">
        <w:rPr>
          <w:sz w:val="28"/>
          <w:szCs w:val="28"/>
        </w:rPr>
        <w:t>В состав совокупной денежной массы, рассчитываемой Банком России,  входят</w:t>
      </w:r>
      <w:r>
        <w:rPr>
          <w:sz w:val="28"/>
          <w:szCs w:val="28"/>
        </w:rPr>
        <w:t xml:space="preserve"> </w:t>
      </w:r>
      <w:r w:rsidRPr="00A5313E">
        <w:rPr>
          <w:sz w:val="28"/>
          <w:szCs w:val="28"/>
        </w:rPr>
        <w:t>следующие показатели:</w:t>
      </w:r>
    </w:p>
    <w:p w:rsidR="00A5313E" w:rsidRPr="00A5313E" w:rsidRDefault="00A5313E" w:rsidP="00A5313E">
      <w:pPr>
        <w:spacing w:line="360" w:lineRule="auto"/>
        <w:jc w:val="both"/>
        <w:rPr>
          <w:sz w:val="28"/>
          <w:szCs w:val="28"/>
        </w:rPr>
      </w:pPr>
      <w:r w:rsidRPr="00A5313E">
        <w:rPr>
          <w:sz w:val="28"/>
          <w:szCs w:val="28"/>
        </w:rPr>
        <w:t xml:space="preserve"> 1. Денежный агрегат М0 – наличные деньги в  обращении,  т.е.  не  включая</w:t>
      </w:r>
    </w:p>
    <w:p w:rsidR="00A5313E" w:rsidRPr="00A5313E" w:rsidRDefault="00A5313E" w:rsidP="00A5313E">
      <w:pPr>
        <w:spacing w:line="360" w:lineRule="auto"/>
        <w:jc w:val="both"/>
        <w:rPr>
          <w:sz w:val="28"/>
          <w:szCs w:val="28"/>
        </w:rPr>
      </w:pPr>
      <w:r w:rsidRPr="00A5313E">
        <w:rPr>
          <w:sz w:val="28"/>
          <w:szCs w:val="28"/>
        </w:rPr>
        <w:t>наличные деньги, держателем которых является банковская система.</w:t>
      </w:r>
    </w:p>
    <w:p w:rsidR="00A5313E" w:rsidRPr="00A5313E" w:rsidRDefault="00A5313E" w:rsidP="00A5313E">
      <w:pPr>
        <w:spacing w:line="360" w:lineRule="auto"/>
        <w:jc w:val="both"/>
        <w:rPr>
          <w:sz w:val="28"/>
          <w:szCs w:val="28"/>
        </w:rPr>
      </w:pPr>
      <w:r w:rsidRPr="00A5313E">
        <w:rPr>
          <w:sz w:val="28"/>
          <w:szCs w:val="28"/>
        </w:rPr>
        <w:t>2. Средства на  расчётных,  текущих  и  специальных  счетах  предприятий,</w:t>
      </w:r>
    </w:p>
    <w:p w:rsidR="00A5313E" w:rsidRDefault="00A5313E" w:rsidP="00A5313E">
      <w:pPr>
        <w:spacing w:line="360" w:lineRule="auto"/>
        <w:jc w:val="both"/>
        <w:rPr>
          <w:sz w:val="28"/>
          <w:szCs w:val="28"/>
        </w:rPr>
      </w:pPr>
      <w:r w:rsidRPr="00A5313E">
        <w:rPr>
          <w:sz w:val="28"/>
          <w:szCs w:val="28"/>
        </w:rPr>
        <w:t xml:space="preserve"> населения и местных бюджетов.</w:t>
      </w:r>
    </w:p>
    <w:p w:rsidR="00A5313E" w:rsidRPr="00A5313E" w:rsidRDefault="00A5313E" w:rsidP="00A5313E">
      <w:pPr>
        <w:spacing w:line="360" w:lineRule="auto"/>
        <w:jc w:val="both"/>
        <w:rPr>
          <w:sz w:val="28"/>
          <w:szCs w:val="28"/>
        </w:rPr>
      </w:pPr>
      <w:r w:rsidRPr="00A5313E">
        <w:rPr>
          <w:sz w:val="28"/>
          <w:szCs w:val="28"/>
        </w:rPr>
        <w:t>3. Депозиты населения и предприятий в коммерческих банках.</w:t>
      </w:r>
    </w:p>
    <w:p w:rsidR="00A5313E" w:rsidRPr="00A5313E" w:rsidRDefault="00A5313E" w:rsidP="00A5313E">
      <w:pPr>
        <w:spacing w:line="360" w:lineRule="auto"/>
        <w:jc w:val="both"/>
        <w:rPr>
          <w:sz w:val="28"/>
          <w:szCs w:val="28"/>
        </w:rPr>
      </w:pPr>
      <w:r w:rsidRPr="00A5313E">
        <w:rPr>
          <w:sz w:val="28"/>
          <w:szCs w:val="28"/>
        </w:rPr>
        <w:t>4. Депозиты населения до востребования в сберегательных банках.</w:t>
      </w:r>
    </w:p>
    <w:p w:rsidR="00A5313E" w:rsidRPr="00A5313E" w:rsidRDefault="00A5313E" w:rsidP="00A5313E">
      <w:pPr>
        <w:spacing w:line="360" w:lineRule="auto"/>
        <w:jc w:val="both"/>
        <w:rPr>
          <w:sz w:val="28"/>
          <w:szCs w:val="28"/>
        </w:rPr>
      </w:pPr>
      <w:r w:rsidRPr="00A5313E">
        <w:rPr>
          <w:sz w:val="28"/>
          <w:szCs w:val="28"/>
        </w:rPr>
        <w:t>5. Средства Госстраха.</w:t>
      </w:r>
    </w:p>
    <w:p w:rsidR="00A5313E" w:rsidRPr="00A5313E" w:rsidRDefault="00A5313E" w:rsidP="00A5313E">
      <w:pPr>
        <w:spacing w:line="360" w:lineRule="auto"/>
        <w:jc w:val="both"/>
        <w:rPr>
          <w:sz w:val="28"/>
          <w:szCs w:val="28"/>
        </w:rPr>
      </w:pPr>
      <w:r w:rsidRPr="00A5313E">
        <w:rPr>
          <w:sz w:val="28"/>
          <w:szCs w:val="28"/>
        </w:rPr>
        <w:t>Денежный агрегат М1= (М0 + п.2 + п.3 + п.4 + п.5).</w:t>
      </w:r>
    </w:p>
    <w:p w:rsidR="00A5313E" w:rsidRPr="00A5313E" w:rsidRDefault="00A5313E" w:rsidP="00A5313E">
      <w:pPr>
        <w:spacing w:line="360" w:lineRule="auto"/>
        <w:jc w:val="both"/>
        <w:rPr>
          <w:sz w:val="28"/>
          <w:szCs w:val="28"/>
        </w:rPr>
      </w:pPr>
      <w:r w:rsidRPr="00A5313E">
        <w:rPr>
          <w:sz w:val="28"/>
          <w:szCs w:val="28"/>
        </w:rPr>
        <w:t>6. Срочные депозиты населения в сберегательных банках.</w:t>
      </w:r>
    </w:p>
    <w:p w:rsidR="00A5313E" w:rsidRPr="00A5313E" w:rsidRDefault="00A5313E" w:rsidP="00A5313E">
      <w:pPr>
        <w:spacing w:line="360" w:lineRule="auto"/>
        <w:jc w:val="both"/>
        <w:rPr>
          <w:sz w:val="28"/>
          <w:szCs w:val="28"/>
        </w:rPr>
      </w:pPr>
      <w:r w:rsidRPr="00A5313E">
        <w:rPr>
          <w:sz w:val="28"/>
          <w:szCs w:val="28"/>
        </w:rPr>
        <w:t>Денежный агрегат М2 = (М1 + п.6).</w:t>
      </w:r>
    </w:p>
    <w:p w:rsidR="00A5313E" w:rsidRPr="00A5313E" w:rsidRDefault="00A5313E" w:rsidP="00A5313E">
      <w:pPr>
        <w:spacing w:line="360" w:lineRule="auto"/>
        <w:jc w:val="both"/>
        <w:rPr>
          <w:sz w:val="28"/>
          <w:szCs w:val="28"/>
        </w:rPr>
      </w:pPr>
      <w:r w:rsidRPr="00A5313E">
        <w:rPr>
          <w:sz w:val="28"/>
          <w:szCs w:val="28"/>
        </w:rPr>
        <w:t>7. Сертификаты и облигации госзайма.</w:t>
      </w:r>
    </w:p>
    <w:p w:rsidR="00A5313E" w:rsidRPr="00A5313E" w:rsidRDefault="00A5313E" w:rsidP="00A5313E">
      <w:pPr>
        <w:spacing w:line="360" w:lineRule="auto"/>
        <w:jc w:val="both"/>
        <w:rPr>
          <w:sz w:val="28"/>
          <w:szCs w:val="28"/>
        </w:rPr>
      </w:pPr>
      <w:r w:rsidRPr="00A5313E">
        <w:rPr>
          <w:sz w:val="28"/>
          <w:szCs w:val="28"/>
        </w:rPr>
        <w:t>Денежный агрегат М3 = (М2 + п.7).</w:t>
      </w:r>
    </w:p>
    <w:p w:rsidR="0022319A" w:rsidRDefault="0022319A" w:rsidP="0022319A">
      <w:pPr>
        <w:spacing w:line="360" w:lineRule="auto"/>
        <w:ind w:firstLine="540"/>
        <w:jc w:val="both"/>
        <w:rPr>
          <w:sz w:val="28"/>
          <w:szCs w:val="28"/>
        </w:rPr>
      </w:pPr>
    </w:p>
    <w:p w:rsidR="0022319A" w:rsidRPr="00A5313E" w:rsidRDefault="00A5313E" w:rsidP="00A5313E">
      <w:pPr>
        <w:spacing w:line="360" w:lineRule="auto"/>
        <w:ind w:firstLine="540"/>
        <w:jc w:val="center"/>
        <w:rPr>
          <w:b/>
          <w:sz w:val="28"/>
          <w:szCs w:val="28"/>
        </w:rPr>
      </w:pPr>
      <w:r w:rsidRPr="00A5313E">
        <w:rPr>
          <w:b/>
          <w:sz w:val="28"/>
          <w:szCs w:val="28"/>
        </w:rPr>
        <w:t>3. Основные сектора системы национальных счетов.</w:t>
      </w:r>
    </w:p>
    <w:p w:rsidR="00E7502A" w:rsidRDefault="00E7502A" w:rsidP="00E7502A">
      <w:pPr>
        <w:spacing w:line="360" w:lineRule="auto"/>
        <w:rPr>
          <w:sz w:val="28"/>
          <w:szCs w:val="28"/>
        </w:rPr>
      </w:pPr>
      <w:r>
        <w:rPr>
          <w:sz w:val="28"/>
          <w:szCs w:val="28"/>
        </w:rPr>
        <w:t xml:space="preserve">Система национальных счетов (СНС) - это логически последовательная, гармонизированная и целостная совокупность макроэкономических счетов, балансов активов и пассивов, а также таблиц, в основе которых лежит ряд согласованных на международном уровне понятий, определений, классификаций и правил учета. СНС представляет собой макроэкономическое бухгалтерское отображение прибыли за определенный период деятельности государства в целом, ее секторов, отраслей и регионов. </w:t>
      </w:r>
    </w:p>
    <w:p w:rsidR="00E7502A" w:rsidRDefault="00E7502A" w:rsidP="00E7502A">
      <w:pPr>
        <w:spacing w:line="360" w:lineRule="auto"/>
        <w:ind w:firstLine="540"/>
        <w:rPr>
          <w:sz w:val="28"/>
          <w:szCs w:val="28"/>
        </w:rPr>
      </w:pPr>
      <w:r>
        <w:rPr>
          <w:sz w:val="28"/>
          <w:szCs w:val="28"/>
        </w:rPr>
        <w:t xml:space="preserve">В основе СНС лежит концепция экономического оборота от объектов (носителей стоимости) к субъектам (хозяйственным единицам) посредством экономических актов или операций. Концепция СНС рассматривает рыночную экономику как единое целое, без проведения принципиальных отличий между производством материальных благ и деятельностью по предоставлению услуг. </w:t>
      </w:r>
    </w:p>
    <w:p w:rsidR="00E7502A" w:rsidRDefault="00E7502A" w:rsidP="00E7502A">
      <w:pPr>
        <w:spacing w:line="360" w:lineRule="auto"/>
        <w:ind w:firstLine="540"/>
        <w:rPr>
          <w:sz w:val="28"/>
          <w:szCs w:val="28"/>
        </w:rPr>
      </w:pPr>
      <w:r>
        <w:rPr>
          <w:sz w:val="28"/>
          <w:szCs w:val="28"/>
        </w:rPr>
        <w:t xml:space="preserve">Состояние развития экономики страны, изучение ее динамики и прогнозирование на будущее базируются на системе макроэкономических показателей - суммарных статистических величин, которые характеризуют результаты функционирования отраслей, секторов и экономики в целом. Эти показатели образуют систему взаимосвязанных индикаторов, которые раскрывают разные стороны экономического процесса, дополняют друг друга и объединяются в блоки по стадиям экономического кругооборота: </w:t>
      </w:r>
    </w:p>
    <w:p w:rsidR="00E7502A" w:rsidRDefault="00E7502A" w:rsidP="00E7502A">
      <w:pPr>
        <w:spacing w:line="360" w:lineRule="auto"/>
        <w:rPr>
          <w:sz w:val="28"/>
          <w:szCs w:val="28"/>
        </w:rPr>
      </w:pPr>
      <w:r>
        <w:rPr>
          <w:sz w:val="28"/>
          <w:szCs w:val="28"/>
        </w:rPr>
        <w:t>производство продуктов и услуг; образование, распределение и перераспределение доходов; конечное использование доходов; финансовые результаты.</w:t>
      </w:r>
    </w:p>
    <w:p w:rsidR="00E7502A" w:rsidRDefault="00E7502A" w:rsidP="00E7502A">
      <w:pPr>
        <w:spacing w:line="360" w:lineRule="auto"/>
        <w:ind w:firstLine="540"/>
        <w:rPr>
          <w:sz w:val="28"/>
          <w:szCs w:val="28"/>
        </w:rPr>
      </w:pPr>
      <w:r>
        <w:rPr>
          <w:sz w:val="28"/>
          <w:szCs w:val="28"/>
        </w:rPr>
        <w:t xml:space="preserve">СНС представляет собой набор взаимосвязанных двусторонних балансовых таблиц, которые построены по принципу двойного бухгалтерского учета. С одной стороны, каждая экономическая операция фиксируется на одном счете как поступление ресурса, с другой стороны - регистрируется на втором счете по той же стоимости как использование имеющегося ресурса. Сальдо (то есть разность) стоимости операций из поступления и использования ресурсов конкретного счета называется балансировочной статьей. </w:t>
      </w:r>
    </w:p>
    <w:p w:rsidR="00E7502A" w:rsidRDefault="00E7502A" w:rsidP="00E7502A">
      <w:pPr>
        <w:spacing w:line="360" w:lineRule="auto"/>
        <w:ind w:firstLine="540"/>
        <w:rPr>
          <w:sz w:val="28"/>
          <w:szCs w:val="28"/>
        </w:rPr>
      </w:pPr>
      <w:r>
        <w:rPr>
          <w:sz w:val="28"/>
          <w:szCs w:val="28"/>
        </w:rPr>
        <w:t>Построение счетов осуществляется последовательно и отвечает статьям экономического кругооборота. На современном этапе классификация 10 счетов СНС складывается по такой схеме: 4 из них соответствуют счетам и показателям для экономики страны в целом (консолидированные счета): счет товаров и услуг (1); текущие счета (2), которые аккумулируют операции с товарами и услугами, а также операции из распределения и перераспределения доходов; счета накопления (3), которые отражают потоки, влияющие на объем и структуру национального имущества, потоки чистых кредитов во всех формах; счета «Другого мира» (4), которые включают счет текущих операций, счет капитальных расходов, финансовый счет; 6 счетов составляют для каждого сектора внутренней экономики: счет производства (1); счет образования доходов (2); счета распределения доходов - первичного и вторичного (3), и счет использования доходов (4), который подчиняется текущим счетам; счет операций с капиталом (5); финансовый счет (6), который подчиняется счетам накопления. Из отмеченных 6 счетов для отраслей экономики используются лишь 2 текущих счета: производства и образование доходов.</w:t>
      </w:r>
    </w:p>
    <w:p w:rsidR="00E7502A" w:rsidRDefault="00E7502A" w:rsidP="00E7502A">
      <w:pPr>
        <w:spacing w:line="360" w:lineRule="auto"/>
        <w:ind w:firstLine="540"/>
        <w:rPr>
          <w:sz w:val="28"/>
          <w:szCs w:val="28"/>
        </w:rPr>
      </w:pPr>
      <w:r>
        <w:rPr>
          <w:sz w:val="28"/>
          <w:szCs w:val="28"/>
        </w:rPr>
        <w:t>Соответственно международным стандартам СНС ООН (</w:t>
      </w:r>
      <w:smartTag w:uri="urn:schemas-microsoft-com:office:smarttags" w:element="metricconverter">
        <w:smartTagPr>
          <w:attr w:name="ProductID" w:val="1993 г"/>
        </w:smartTagPr>
        <w:r>
          <w:rPr>
            <w:sz w:val="28"/>
            <w:szCs w:val="28"/>
          </w:rPr>
          <w:t>1993 г</w:t>
        </w:r>
      </w:smartTag>
      <w:r>
        <w:rPr>
          <w:sz w:val="28"/>
          <w:szCs w:val="28"/>
        </w:rPr>
        <w:t xml:space="preserve">.) данные для национальных счетов поступают от институционных единиц, которые группируются в 6 секторов: </w:t>
      </w:r>
    </w:p>
    <w:p w:rsidR="00E7502A" w:rsidRDefault="00E7502A" w:rsidP="00E7502A">
      <w:pPr>
        <w:spacing w:line="360" w:lineRule="auto"/>
        <w:ind w:firstLine="540"/>
        <w:rPr>
          <w:sz w:val="28"/>
          <w:szCs w:val="28"/>
        </w:rPr>
      </w:pPr>
      <w:r>
        <w:rPr>
          <w:sz w:val="28"/>
          <w:szCs w:val="28"/>
        </w:rPr>
        <w:t xml:space="preserve">1)сектор нефинансовых корпораций, в который входят предприятия разных форм собственности, общества, кооперативы, производства товаров и услуг (кроме финансовых) для реализации на рынке; </w:t>
      </w:r>
    </w:p>
    <w:p w:rsidR="00E7502A" w:rsidRDefault="00E7502A" w:rsidP="00E7502A">
      <w:pPr>
        <w:spacing w:line="360" w:lineRule="auto"/>
        <w:ind w:firstLine="540"/>
        <w:rPr>
          <w:sz w:val="28"/>
          <w:szCs w:val="28"/>
        </w:rPr>
      </w:pPr>
      <w:r>
        <w:rPr>
          <w:sz w:val="28"/>
          <w:szCs w:val="28"/>
        </w:rPr>
        <w:t xml:space="preserve">2)сектор финансовых корпораций, который объединяет учреждения и организации, осуществляющие финансовые и кредитные операции, а также страхование разных видов рисков (банки, фонды, страховые компании и т.п.); </w:t>
      </w:r>
    </w:p>
    <w:p w:rsidR="00E7502A" w:rsidRDefault="00E7502A" w:rsidP="00E7502A">
      <w:pPr>
        <w:spacing w:line="360" w:lineRule="auto"/>
        <w:ind w:firstLine="540"/>
        <w:rPr>
          <w:sz w:val="28"/>
          <w:szCs w:val="28"/>
        </w:rPr>
      </w:pPr>
      <w:r>
        <w:rPr>
          <w:sz w:val="28"/>
          <w:szCs w:val="28"/>
        </w:rPr>
        <w:t xml:space="preserve">3)сектор государственного управления, в который входят органы представления по большей части нерыночных услуг для индивидуального или коллективного потребления и перераспределения доходов и богатства; </w:t>
      </w:r>
    </w:p>
    <w:p w:rsidR="00E7502A" w:rsidRDefault="00E7502A" w:rsidP="00E7502A">
      <w:pPr>
        <w:spacing w:line="360" w:lineRule="auto"/>
        <w:ind w:firstLine="540"/>
        <w:rPr>
          <w:sz w:val="28"/>
          <w:szCs w:val="28"/>
        </w:rPr>
      </w:pPr>
      <w:r>
        <w:rPr>
          <w:sz w:val="28"/>
          <w:szCs w:val="28"/>
        </w:rPr>
        <w:t xml:space="preserve">4)сектор домашних хозяйств, представляющий в экономике физические лица, которые выполняют функции потребления и производства товаров и рыночных услуг; </w:t>
      </w:r>
    </w:p>
    <w:p w:rsidR="00E7502A" w:rsidRDefault="00E7502A" w:rsidP="00E7502A">
      <w:pPr>
        <w:spacing w:line="360" w:lineRule="auto"/>
        <w:ind w:firstLine="540"/>
        <w:rPr>
          <w:sz w:val="28"/>
          <w:szCs w:val="28"/>
        </w:rPr>
      </w:pPr>
      <w:r>
        <w:rPr>
          <w:sz w:val="28"/>
          <w:szCs w:val="28"/>
        </w:rPr>
        <w:t xml:space="preserve">5)сектор некоммерческих организаций - это профсоюзы, политические партии, ассоциации, фонды, которые по большей части производят нерыночные услуги для домашних хозяйств; </w:t>
      </w:r>
    </w:p>
    <w:p w:rsidR="00E7502A" w:rsidRDefault="00E7502A" w:rsidP="00E7502A">
      <w:pPr>
        <w:spacing w:line="360" w:lineRule="auto"/>
        <w:ind w:firstLine="540"/>
        <w:rPr>
          <w:sz w:val="28"/>
          <w:szCs w:val="28"/>
        </w:rPr>
      </w:pPr>
      <w:r>
        <w:rPr>
          <w:sz w:val="28"/>
          <w:szCs w:val="28"/>
        </w:rPr>
        <w:t xml:space="preserve">6)сектор экстерриториальной деятельности (другой мир), который группирует иностранные единицы (нерезиденты), осуществляющие операции с отечественными институционными единицами. </w:t>
      </w:r>
    </w:p>
    <w:p w:rsidR="00E7502A" w:rsidRDefault="00E7502A" w:rsidP="00E7502A">
      <w:pPr>
        <w:spacing w:line="360" w:lineRule="auto"/>
        <w:ind w:firstLine="540"/>
        <w:rPr>
          <w:sz w:val="28"/>
          <w:szCs w:val="28"/>
        </w:rPr>
      </w:pPr>
      <w:r>
        <w:rPr>
          <w:sz w:val="28"/>
          <w:szCs w:val="28"/>
        </w:rPr>
        <w:t>Для этих секторов предусмотрен стандартный набор счетов, в которых регистрируются экономические операции, связанные с производством, образованием доходов, сохранением и накоплением, приобретением финансовых активов и принятием финансовых обязательств. Информация, которая содержится в счетах секторов, используется для получения наиболее важных макроэкономических показателей, осуществления анализа развития экономики и прогнозирования.</w:t>
      </w:r>
    </w:p>
    <w:p w:rsidR="00E7502A" w:rsidRDefault="00E7502A" w:rsidP="00E7502A">
      <w:pPr>
        <w:spacing w:line="360" w:lineRule="auto"/>
        <w:ind w:firstLine="540"/>
        <w:rPr>
          <w:sz w:val="28"/>
          <w:szCs w:val="28"/>
        </w:rPr>
      </w:pPr>
    </w:p>
    <w:p w:rsidR="00E7502A" w:rsidRPr="00E7502A" w:rsidRDefault="00E7502A" w:rsidP="00E7502A">
      <w:pPr>
        <w:spacing w:line="360" w:lineRule="auto"/>
        <w:ind w:firstLine="540"/>
        <w:jc w:val="center"/>
        <w:rPr>
          <w:b/>
          <w:sz w:val="28"/>
          <w:szCs w:val="28"/>
        </w:rPr>
      </w:pPr>
      <w:r w:rsidRPr="00E7502A">
        <w:rPr>
          <w:b/>
          <w:sz w:val="28"/>
          <w:szCs w:val="28"/>
        </w:rPr>
        <w:t>4. Статистика культуры и отдыха.</w:t>
      </w:r>
    </w:p>
    <w:p w:rsidR="0022319A" w:rsidRDefault="0089519C" w:rsidP="0022319A">
      <w:pPr>
        <w:spacing w:line="360" w:lineRule="auto"/>
        <w:ind w:firstLine="540"/>
        <w:jc w:val="both"/>
        <w:rPr>
          <w:sz w:val="28"/>
          <w:szCs w:val="28"/>
        </w:rPr>
      </w:pPr>
      <w:r>
        <w:rPr>
          <w:sz w:val="28"/>
          <w:szCs w:val="28"/>
        </w:rPr>
        <w:t>Наряду с показателями материального благосостояния жизненный уровень населения характеризуют показатели, отражающие общую ситуацию, обуславливающую уровень жизни. К ним относятся показатели:</w:t>
      </w:r>
    </w:p>
    <w:p w:rsidR="0089519C" w:rsidRDefault="0089519C" w:rsidP="0022319A">
      <w:pPr>
        <w:spacing w:line="360" w:lineRule="auto"/>
        <w:ind w:firstLine="540"/>
        <w:jc w:val="both"/>
        <w:rPr>
          <w:sz w:val="28"/>
          <w:szCs w:val="28"/>
        </w:rPr>
      </w:pPr>
      <w:r>
        <w:rPr>
          <w:sz w:val="28"/>
          <w:szCs w:val="28"/>
        </w:rPr>
        <w:t>- состояния окружающей среда;</w:t>
      </w:r>
    </w:p>
    <w:p w:rsidR="0089519C" w:rsidRDefault="0089519C" w:rsidP="0022319A">
      <w:pPr>
        <w:spacing w:line="360" w:lineRule="auto"/>
        <w:ind w:firstLine="540"/>
        <w:jc w:val="both"/>
        <w:rPr>
          <w:sz w:val="28"/>
          <w:szCs w:val="28"/>
        </w:rPr>
      </w:pPr>
      <w:r>
        <w:rPr>
          <w:sz w:val="28"/>
          <w:szCs w:val="28"/>
        </w:rPr>
        <w:t>- криминогенной обстановки;</w:t>
      </w:r>
    </w:p>
    <w:p w:rsidR="0089519C" w:rsidRDefault="0089519C" w:rsidP="0022319A">
      <w:pPr>
        <w:spacing w:line="360" w:lineRule="auto"/>
        <w:ind w:firstLine="540"/>
        <w:jc w:val="both"/>
        <w:rPr>
          <w:sz w:val="28"/>
          <w:szCs w:val="28"/>
        </w:rPr>
      </w:pPr>
      <w:r>
        <w:rPr>
          <w:sz w:val="28"/>
          <w:szCs w:val="28"/>
        </w:rPr>
        <w:t>- условий труда;</w:t>
      </w:r>
    </w:p>
    <w:p w:rsidR="0089519C" w:rsidRDefault="0089519C" w:rsidP="0022319A">
      <w:pPr>
        <w:spacing w:line="360" w:lineRule="auto"/>
        <w:ind w:firstLine="540"/>
        <w:jc w:val="both"/>
        <w:rPr>
          <w:sz w:val="28"/>
          <w:szCs w:val="28"/>
        </w:rPr>
      </w:pPr>
      <w:r>
        <w:rPr>
          <w:sz w:val="28"/>
          <w:szCs w:val="28"/>
        </w:rPr>
        <w:t>- здравоохранения, образования, науки и культуры;</w:t>
      </w:r>
    </w:p>
    <w:p w:rsidR="0089519C" w:rsidRDefault="0089519C" w:rsidP="0022319A">
      <w:pPr>
        <w:spacing w:line="360" w:lineRule="auto"/>
        <w:ind w:firstLine="540"/>
        <w:jc w:val="both"/>
        <w:rPr>
          <w:sz w:val="28"/>
          <w:szCs w:val="28"/>
        </w:rPr>
      </w:pPr>
      <w:r>
        <w:rPr>
          <w:sz w:val="28"/>
          <w:szCs w:val="28"/>
        </w:rPr>
        <w:t>- наличия свободного времени и его использования;</w:t>
      </w:r>
    </w:p>
    <w:p w:rsidR="0089519C" w:rsidRDefault="0089519C" w:rsidP="0022319A">
      <w:pPr>
        <w:spacing w:line="360" w:lineRule="auto"/>
        <w:ind w:firstLine="540"/>
        <w:jc w:val="both"/>
        <w:rPr>
          <w:sz w:val="28"/>
          <w:szCs w:val="28"/>
        </w:rPr>
      </w:pPr>
      <w:r>
        <w:rPr>
          <w:sz w:val="28"/>
          <w:szCs w:val="28"/>
        </w:rPr>
        <w:t>- общедемографические.</w:t>
      </w:r>
    </w:p>
    <w:p w:rsidR="0089519C" w:rsidRPr="0022319A" w:rsidRDefault="004E0A4E" w:rsidP="0022319A">
      <w:pPr>
        <w:spacing w:line="360" w:lineRule="auto"/>
        <w:ind w:firstLine="540"/>
        <w:jc w:val="both"/>
        <w:rPr>
          <w:sz w:val="28"/>
          <w:szCs w:val="28"/>
        </w:rPr>
      </w:pPr>
      <w:r>
        <w:rPr>
          <w:sz w:val="28"/>
          <w:szCs w:val="28"/>
        </w:rPr>
        <w:t>Важным для исследования жизненного уровня населения является степень удовлетворения его культурных потребностей. С этой целью используются показатели: численность культурно-</w:t>
      </w:r>
      <w:r w:rsidR="004A149B">
        <w:rPr>
          <w:sz w:val="28"/>
          <w:szCs w:val="28"/>
        </w:rPr>
        <w:t>просветительских учреждений в России (библиотек, клубов, домов и дворцов культуры, музеев, театров, кинотеатров); количество мероприятий, проведенных этими учреждениями (число киносеансов, театральных представлений, выставок, концертов и т.д.); количество посетителей, принявших участие в этих мероприятиях. Особое значение имеют показатели деятельности средств массовой информации</w:t>
      </w:r>
      <w:r w:rsidR="0055483D">
        <w:rPr>
          <w:sz w:val="28"/>
          <w:szCs w:val="28"/>
        </w:rPr>
        <w:t xml:space="preserve"> (численность и тираж книг, журналов и газет, аудитория радиослушателей и телезрителей).</w:t>
      </w:r>
    </w:p>
    <w:p w:rsidR="0022319A" w:rsidRDefault="0022319A" w:rsidP="0022319A">
      <w:pPr>
        <w:ind w:firstLine="540"/>
      </w:pPr>
    </w:p>
    <w:p w:rsidR="00BF6100" w:rsidRPr="00BF6100" w:rsidRDefault="00BF6100" w:rsidP="00BF6100">
      <w:pPr>
        <w:spacing w:line="360" w:lineRule="auto"/>
        <w:ind w:firstLine="720"/>
        <w:jc w:val="center"/>
        <w:rPr>
          <w:b/>
          <w:bCs/>
          <w:sz w:val="28"/>
          <w:szCs w:val="28"/>
        </w:rPr>
      </w:pPr>
      <w:r>
        <w:rPr>
          <w:b/>
          <w:bCs/>
          <w:sz w:val="28"/>
          <w:szCs w:val="28"/>
        </w:rPr>
        <w:t>Задача № 1</w:t>
      </w:r>
    </w:p>
    <w:p w:rsidR="00BF6100" w:rsidRDefault="00BF6100" w:rsidP="00BF6100">
      <w:pPr>
        <w:spacing w:line="360" w:lineRule="auto"/>
        <w:ind w:firstLine="720"/>
        <w:jc w:val="both"/>
        <w:rPr>
          <w:sz w:val="28"/>
          <w:szCs w:val="28"/>
        </w:rPr>
      </w:pPr>
      <w:r>
        <w:rPr>
          <w:sz w:val="28"/>
          <w:szCs w:val="28"/>
        </w:rPr>
        <w:t xml:space="preserve">По имеющимся данным рассчитать: сводные цепные и сводные базовые индексы потребительских цен в целом по стране за период с декабря 2001 по июнь </w:t>
      </w:r>
      <w:smartTag w:uri="urn:schemas-microsoft-com:office:smarttags" w:element="metricconverter">
        <w:smartTagPr>
          <w:attr w:name="ProductID" w:val="2000 г"/>
        </w:smartTagPr>
        <w:r>
          <w:rPr>
            <w:sz w:val="28"/>
            <w:szCs w:val="28"/>
          </w:rPr>
          <w:t>2000 г</w:t>
        </w:r>
      </w:smartTag>
      <w:r>
        <w:rPr>
          <w:sz w:val="28"/>
          <w:szCs w:val="28"/>
        </w:rPr>
        <w:t>.</w:t>
      </w:r>
    </w:p>
    <w:p w:rsidR="00BF6100" w:rsidRDefault="00BF6100" w:rsidP="00BF6100">
      <w:pPr>
        <w:spacing w:line="360" w:lineRule="auto"/>
        <w:ind w:firstLine="720"/>
        <w:jc w:val="both"/>
        <w:rPr>
          <w:sz w:val="28"/>
          <w:szCs w:val="28"/>
        </w:rPr>
      </w:pPr>
      <w:r>
        <w:rPr>
          <w:sz w:val="28"/>
          <w:szCs w:val="28"/>
        </w:rPr>
        <w:t>(В таблице приведен условный тариф стоимости проезда в общественном транспорте).</w:t>
      </w:r>
    </w:p>
    <w:p w:rsidR="00BF6100" w:rsidRDefault="00BF6100" w:rsidP="00BF6100">
      <w:pPr>
        <w:spacing w:line="360" w:lineRule="auto"/>
        <w:ind w:firstLine="720"/>
        <w:jc w:val="both"/>
        <w:rPr>
          <w:b/>
          <w:bCs/>
          <w:i/>
          <w:iCs/>
          <w:sz w:val="28"/>
          <w:szCs w:val="28"/>
        </w:rPr>
      </w:pPr>
    </w:p>
    <w:tbl>
      <w:tblPr>
        <w:tblW w:w="0" w:type="auto"/>
        <w:tblLook w:val="00A0" w:firstRow="1" w:lastRow="0" w:firstColumn="1" w:lastColumn="0" w:noHBand="0" w:noVBand="0"/>
      </w:tblPr>
      <w:tblGrid>
        <w:gridCol w:w="2240"/>
        <w:gridCol w:w="1841"/>
        <w:gridCol w:w="903"/>
        <w:gridCol w:w="756"/>
        <w:gridCol w:w="756"/>
        <w:gridCol w:w="756"/>
        <w:gridCol w:w="756"/>
        <w:gridCol w:w="756"/>
        <w:gridCol w:w="807"/>
      </w:tblGrid>
      <w:tr w:rsidR="00BF6100">
        <w:trPr>
          <w:cantSplit/>
          <w:trHeight w:val="390"/>
        </w:trPr>
        <w:tc>
          <w:tcPr>
            <w:tcW w:w="0" w:type="auto"/>
            <w:vMerge w:val="restart"/>
            <w:tcBorders>
              <w:top w:val="single" w:sz="8" w:space="0" w:color="auto"/>
              <w:left w:val="single" w:sz="8" w:space="0" w:color="auto"/>
              <w:bottom w:val="single" w:sz="8" w:space="0" w:color="000000"/>
              <w:right w:val="single" w:sz="8" w:space="0" w:color="auto"/>
            </w:tcBorders>
            <w:vAlign w:val="bottom"/>
          </w:tcPr>
          <w:p w:rsidR="00BF6100" w:rsidRDefault="00BF6100" w:rsidP="00BF6100">
            <w:pPr>
              <w:spacing w:line="360" w:lineRule="auto"/>
              <w:jc w:val="both"/>
              <w:rPr>
                <w:color w:val="000000"/>
              </w:rPr>
            </w:pPr>
            <w:r>
              <w:rPr>
                <w:color w:val="000000"/>
              </w:rPr>
              <w:t>Наименование региона</w:t>
            </w:r>
          </w:p>
        </w:tc>
        <w:tc>
          <w:tcPr>
            <w:tcW w:w="0" w:type="auto"/>
            <w:vMerge w:val="restart"/>
            <w:tcBorders>
              <w:top w:val="single" w:sz="8" w:space="0" w:color="auto"/>
              <w:left w:val="single" w:sz="8" w:space="0" w:color="auto"/>
              <w:bottom w:val="single" w:sz="8" w:space="0" w:color="000000"/>
              <w:right w:val="single" w:sz="8" w:space="0" w:color="auto"/>
            </w:tcBorders>
            <w:vAlign w:val="bottom"/>
          </w:tcPr>
          <w:p w:rsidR="00BF6100" w:rsidRDefault="00BF6100" w:rsidP="00BF6100">
            <w:pPr>
              <w:spacing w:line="360" w:lineRule="auto"/>
              <w:jc w:val="both"/>
              <w:rPr>
                <w:color w:val="000000"/>
              </w:rPr>
            </w:pPr>
            <w:r>
              <w:rPr>
                <w:color w:val="000000"/>
              </w:rPr>
              <w:t>Доля численности</w:t>
            </w:r>
          </w:p>
        </w:tc>
        <w:tc>
          <w:tcPr>
            <w:tcW w:w="0" w:type="auto"/>
            <w:gridSpan w:val="7"/>
            <w:tcBorders>
              <w:top w:val="single" w:sz="8" w:space="0" w:color="auto"/>
              <w:left w:val="nil"/>
              <w:bottom w:val="single" w:sz="8" w:space="0" w:color="auto"/>
              <w:right w:val="single" w:sz="8" w:space="0" w:color="000000"/>
            </w:tcBorders>
            <w:vAlign w:val="bottom"/>
          </w:tcPr>
          <w:p w:rsidR="00BF6100" w:rsidRDefault="00BF6100" w:rsidP="00BF6100">
            <w:pPr>
              <w:spacing w:line="360" w:lineRule="auto"/>
              <w:jc w:val="both"/>
              <w:rPr>
                <w:color w:val="000000"/>
              </w:rPr>
            </w:pPr>
            <w:r>
              <w:rPr>
                <w:color w:val="000000"/>
              </w:rPr>
              <w:t>Тариф, руб.</w:t>
            </w:r>
          </w:p>
        </w:tc>
      </w:tr>
      <w:tr w:rsidR="00BF6100">
        <w:trPr>
          <w:trHeight w:val="60"/>
        </w:trPr>
        <w:tc>
          <w:tcPr>
            <w:tcW w:w="0" w:type="auto"/>
            <w:vMerge/>
            <w:tcBorders>
              <w:top w:val="single" w:sz="8" w:space="0" w:color="auto"/>
              <w:left w:val="single" w:sz="8" w:space="0" w:color="auto"/>
              <w:bottom w:val="single" w:sz="8" w:space="0" w:color="000000"/>
              <w:right w:val="single" w:sz="8" w:space="0" w:color="auto"/>
            </w:tcBorders>
            <w:vAlign w:val="center"/>
          </w:tcPr>
          <w:p w:rsidR="00BF6100" w:rsidRDefault="00BF6100" w:rsidP="00BF6100">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F6100" w:rsidRDefault="00BF6100" w:rsidP="00BF6100">
            <w:pPr>
              <w:rPr>
                <w:color w:val="000000"/>
              </w:rPr>
            </w:pP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Дек,99</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Янв.</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Фев.</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март</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Апр.</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май</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Июнь</w:t>
            </w:r>
          </w:p>
        </w:tc>
      </w:tr>
      <w:tr w:rsidR="00BF6100">
        <w:trPr>
          <w:cantSplit/>
          <w:trHeight w:val="60"/>
        </w:trPr>
        <w:tc>
          <w:tcPr>
            <w:tcW w:w="0" w:type="auto"/>
            <w:tcBorders>
              <w:top w:val="nil"/>
              <w:left w:val="single" w:sz="8" w:space="0" w:color="auto"/>
              <w:bottom w:val="single" w:sz="8" w:space="0" w:color="auto"/>
              <w:right w:val="single" w:sz="8" w:space="0" w:color="auto"/>
            </w:tcBorders>
          </w:tcPr>
          <w:p w:rsidR="00BF6100" w:rsidRDefault="00BF6100" w:rsidP="00BF6100">
            <w:pPr>
              <w:spacing w:line="360" w:lineRule="auto"/>
              <w:jc w:val="both"/>
              <w:rPr>
                <w:color w:val="000000"/>
              </w:rPr>
            </w:pPr>
            <w:r>
              <w:rPr>
                <w:color w:val="000000"/>
              </w:rPr>
              <w:t>Москва, Моск.</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0,6</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5,5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5,6</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5,7</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5,7</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6</w:t>
            </w:r>
          </w:p>
        </w:tc>
      </w:tr>
      <w:tr w:rsidR="00BF6100">
        <w:trPr>
          <w:cantSplit/>
          <w:trHeight w:val="60"/>
        </w:trPr>
        <w:tc>
          <w:tcPr>
            <w:tcW w:w="0" w:type="auto"/>
            <w:tcBorders>
              <w:top w:val="nil"/>
              <w:left w:val="single" w:sz="8" w:space="0" w:color="auto"/>
              <w:bottom w:val="single" w:sz="8" w:space="0" w:color="auto"/>
              <w:right w:val="single" w:sz="8" w:space="0" w:color="auto"/>
            </w:tcBorders>
          </w:tcPr>
          <w:p w:rsidR="00BF6100" w:rsidRDefault="00BF6100" w:rsidP="00BF6100">
            <w:pPr>
              <w:spacing w:line="360" w:lineRule="auto"/>
              <w:jc w:val="both"/>
              <w:rPr>
                <w:color w:val="000000"/>
              </w:rPr>
            </w:pPr>
            <w:r>
              <w:rPr>
                <w:color w:val="000000"/>
              </w:rPr>
              <w:t>Свердловская</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0,12</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3,1</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3,2</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4</w:t>
            </w:r>
          </w:p>
        </w:tc>
      </w:tr>
      <w:tr w:rsidR="00BF6100">
        <w:trPr>
          <w:cantSplit/>
          <w:trHeight w:val="60"/>
        </w:trPr>
        <w:tc>
          <w:tcPr>
            <w:tcW w:w="0" w:type="auto"/>
            <w:tcBorders>
              <w:top w:val="nil"/>
              <w:left w:val="single" w:sz="8" w:space="0" w:color="auto"/>
              <w:bottom w:val="single" w:sz="8" w:space="0" w:color="auto"/>
              <w:right w:val="single" w:sz="8" w:space="0" w:color="auto"/>
            </w:tcBorders>
          </w:tcPr>
          <w:p w:rsidR="00BF6100" w:rsidRDefault="00BF6100" w:rsidP="00BF6100">
            <w:pPr>
              <w:spacing w:line="360" w:lineRule="auto"/>
              <w:jc w:val="both"/>
              <w:rPr>
                <w:color w:val="000000"/>
              </w:rPr>
            </w:pPr>
            <w:r>
              <w:rPr>
                <w:color w:val="000000"/>
              </w:rPr>
              <w:t>Челябинская</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0,09</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r>
      <w:tr w:rsidR="00BF6100">
        <w:trPr>
          <w:cantSplit/>
          <w:trHeight w:val="60"/>
        </w:trPr>
        <w:tc>
          <w:tcPr>
            <w:tcW w:w="0" w:type="auto"/>
            <w:tcBorders>
              <w:top w:val="nil"/>
              <w:left w:val="single" w:sz="8" w:space="0" w:color="auto"/>
              <w:bottom w:val="single" w:sz="8" w:space="0" w:color="auto"/>
              <w:right w:val="single" w:sz="8" w:space="0" w:color="auto"/>
            </w:tcBorders>
          </w:tcPr>
          <w:p w:rsidR="00BF6100" w:rsidRDefault="00BF6100" w:rsidP="00BF6100">
            <w:pPr>
              <w:spacing w:line="360" w:lineRule="auto"/>
              <w:jc w:val="both"/>
              <w:rPr>
                <w:color w:val="000000"/>
              </w:rPr>
            </w:pPr>
            <w:r>
              <w:rPr>
                <w:color w:val="000000"/>
              </w:rPr>
              <w:t>Самарская обл.</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0,08</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1,6</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1,7</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1,8</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1,9</w:t>
            </w:r>
          </w:p>
        </w:tc>
      </w:tr>
      <w:tr w:rsidR="00BF6100">
        <w:trPr>
          <w:cantSplit/>
          <w:trHeight w:val="60"/>
        </w:trPr>
        <w:tc>
          <w:tcPr>
            <w:tcW w:w="0" w:type="auto"/>
            <w:tcBorders>
              <w:top w:val="nil"/>
              <w:left w:val="single" w:sz="8" w:space="0" w:color="auto"/>
              <w:bottom w:val="single" w:sz="8" w:space="0" w:color="auto"/>
              <w:right w:val="single" w:sz="8" w:space="0" w:color="auto"/>
            </w:tcBorders>
          </w:tcPr>
          <w:p w:rsidR="00BF6100" w:rsidRDefault="00BF6100" w:rsidP="00BF6100">
            <w:pPr>
              <w:spacing w:line="360" w:lineRule="auto"/>
              <w:jc w:val="both"/>
              <w:rPr>
                <w:color w:val="000000"/>
              </w:rPr>
            </w:pPr>
            <w:r>
              <w:rPr>
                <w:color w:val="000000"/>
              </w:rPr>
              <w:t>Новосибирская</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0,11</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2,5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w:t>
            </w:r>
          </w:p>
        </w:tc>
      </w:tr>
      <w:tr w:rsidR="00BF6100">
        <w:trPr>
          <w:cantSplit/>
          <w:trHeight w:val="60"/>
        </w:trPr>
        <w:tc>
          <w:tcPr>
            <w:tcW w:w="0" w:type="auto"/>
            <w:tcBorders>
              <w:top w:val="nil"/>
              <w:left w:val="single" w:sz="8" w:space="0" w:color="auto"/>
              <w:bottom w:val="single" w:sz="8" w:space="0" w:color="auto"/>
              <w:right w:val="single" w:sz="8" w:space="0" w:color="auto"/>
            </w:tcBorders>
          </w:tcPr>
          <w:p w:rsidR="00BF6100" w:rsidRDefault="00BF6100" w:rsidP="00BF6100">
            <w:pPr>
              <w:spacing w:line="360" w:lineRule="auto"/>
              <w:jc w:val="both"/>
              <w:rPr>
                <w:color w:val="000000"/>
              </w:rPr>
            </w:pPr>
            <w:r>
              <w:rPr>
                <w:color w:val="000000"/>
              </w:rPr>
              <w:t>Средний тариф</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1</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3,935</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4,247</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4,319</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4,468</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4,056</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4,484</w:t>
            </w:r>
          </w:p>
        </w:tc>
        <w:tc>
          <w:tcPr>
            <w:tcW w:w="0" w:type="auto"/>
            <w:tcBorders>
              <w:top w:val="nil"/>
              <w:left w:val="nil"/>
              <w:bottom w:val="single" w:sz="8" w:space="0" w:color="auto"/>
              <w:right w:val="single" w:sz="8" w:space="0" w:color="auto"/>
            </w:tcBorders>
            <w:vAlign w:val="bottom"/>
          </w:tcPr>
          <w:p w:rsidR="00BF6100" w:rsidRDefault="00BF6100" w:rsidP="00BF6100">
            <w:pPr>
              <w:spacing w:line="360" w:lineRule="auto"/>
              <w:jc w:val="both"/>
              <w:rPr>
                <w:color w:val="000000"/>
              </w:rPr>
            </w:pPr>
            <w:r>
              <w:rPr>
                <w:color w:val="000000"/>
              </w:rPr>
              <w:t>4,787</w:t>
            </w:r>
          </w:p>
        </w:tc>
      </w:tr>
    </w:tbl>
    <w:p w:rsidR="00BF6100" w:rsidRDefault="00BF6100" w:rsidP="00BF6100">
      <w:pPr>
        <w:spacing w:line="360" w:lineRule="auto"/>
        <w:ind w:firstLine="720"/>
        <w:jc w:val="both"/>
        <w:rPr>
          <w:b/>
          <w:bCs/>
          <w:i/>
          <w:iCs/>
          <w:sz w:val="28"/>
          <w:szCs w:val="28"/>
        </w:rPr>
      </w:pPr>
    </w:p>
    <w:p w:rsidR="00BF6100" w:rsidRDefault="00BF6100" w:rsidP="00BF6100">
      <w:pPr>
        <w:spacing w:line="360" w:lineRule="auto"/>
        <w:ind w:firstLine="720"/>
        <w:jc w:val="both"/>
        <w:rPr>
          <w:sz w:val="28"/>
          <w:szCs w:val="28"/>
        </w:rPr>
      </w:pPr>
      <w:r>
        <w:rPr>
          <w:sz w:val="28"/>
          <w:szCs w:val="28"/>
        </w:rPr>
        <w:t>Для применения данных индексов рассчитаем средний тариф на проезд в регионах, используя формулу средней: как сумма произведений цены тарифа на проезд на долю населения.</w:t>
      </w:r>
    </w:p>
    <w:p w:rsidR="00BF6100" w:rsidRDefault="00BF6100" w:rsidP="00BF6100">
      <w:pPr>
        <w:spacing w:line="360" w:lineRule="auto"/>
        <w:ind w:firstLine="720"/>
        <w:jc w:val="both"/>
        <w:rPr>
          <w:sz w:val="28"/>
          <w:szCs w:val="28"/>
        </w:rPr>
      </w:pPr>
      <w:r>
        <w:rPr>
          <w:sz w:val="28"/>
          <w:szCs w:val="28"/>
        </w:rPr>
        <w:t>Средний тариф за полугодие =</w:t>
      </w:r>
    </w:p>
    <w:p w:rsidR="00BF6100" w:rsidRDefault="00BF6100" w:rsidP="00BF6100">
      <w:pPr>
        <w:spacing w:line="360" w:lineRule="auto"/>
        <w:ind w:firstLine="720"/>
        <w:jc w:val="both"/>
        <w:rPr>
          <w:sz w:val="28"/>
          <w:szCs w:val="28"/>
        </w:rPr>
      </w:pPr>
      <w:r>
        <w:rPr>
          <w:sz w:val="28"/>
          <w:szCs w:val="28"/>
        </w:rPr>
        <w:t>(3,935+4,247+43,19+4,468+4,056+4,484+4,787)/7=4,328 рубля</w:t>
      </w:r>
    </w:p>
    <w:p w:rsidR="00BF6100" w:rsidRDefault="00BF6100" w:rsidP="00BF6100">
      <w:pPr>
        <w:spacing w:line="360" w:lineRule="auto"/>
        <w:ind w:firstLine="720"/>
        <w:jc w:val="both"/>
        <w:rPr>
          <w:sz w:val="28"/>
          <w:szCs w:val="28"/>
        </w:rPr>
      </w:pPr>
      <w:r>
        <w:rPr>
          <w:sz w:val="28"/>
          <w:szCs w:val="28"/>
        </w:rPr>
        <w:t>Базисные индексы получают путем сопоставления с тем уровнем периода, который был принят за базу сравнения.</w:t>
      </w:r>
    </w:p>
    <w:p w:rsidR="00BF6100" w:rsidRDefault="00BF6100" w:rsidP="00BF6100">
      <w:pPr>
        <w:spacing w:line="360" w:lineRule="auto"/>
        <w:ind w:firstLine="720"/>
        <w:jc w:val="both"/>
        <w:rPr>
          <w:sz w:val="28"/>
          <w:szCs w:val="28"/>
        </w:rPr>
      </w:pPr>
      <w:r>
        <w:rPr>
          <w:sz w:val="28"/>
          <w:szCs w:val="28"/>
        </w:rPr>
        <w:t>Базисный сводный индекс цен:</w:t>
      </w:r>
    </w:p>
    <w:p w:rsidR="00BF6100" w:rsidRDefault="00BF6100" w:rsidP="00BF6100">
      <w:pPr>
        <w:spacing w:line="360" w:lineRule="auto"/>
        <w:ind w:firstLine="720"/>
        <w:jc w:val="both"/>
        <w:rPr>
          <w:sz w:val="28"/>
          <w:szCs w:val="28"/>
        </w:rPr>
      </w:pPr>
    </w:p>
    <w:p w:rsidR="00BF6100" w:rsidRDefault="00BF6100" w:rsidP="00BF6100">
      <w:pPr>
        <w:spacing w:line="360" w:lineRule="auto"/>
        <w:ind w:firstLine="720"/>
        <w:jc w:val="both"/>
        <w:rPr>
          <w:sz w:val="28"/>
          <w:szCs w:val="28"/>
        </w:rPr>
      </w:pPr>
      <w:r>
        <w:rPr>
          <w:position w:val="-32"/>
          <w:sz w:val="28"/>
          <w:szCs w:val="28"/>
        </w:rPr>
        <w:object w:dxaOrig="16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8.25pt" o:ole="">
            <v:imagedata r:id="rId4" o:title=""/>
          </v:shape>
          <o:OLEObject Type="Embed" ProgID="Equation.3" ShapeID="_x0000_i1025" DrawAspect="Content" ObjectID="_1458148714" r:id="rId5"/>
        </w:object>
      </w:r>
    </w:p>
    <w:p w:rsidR="00BF6100" w:rsidRDefault="00BF6100" w:rsidP="00BF6100">
      <w:pPr>
        <w:spacing w:line="360" w:lineRule="auto"/>
        <w:ind w:firstLine="720"/>
        <w:jc w:val="both"/>
        <w:rPr>
          <w:sz w:val="28"/>
          <w:szCs w:val="28"/>
        </w:rPr>
      </w:pPr>
    </w:p>
    <w:p w:rsidR="00BF6100" w:rsidRDefault="00BF6100" w:rsidP="00BF6100">
      <w:pPr>
        <w:spacing w:line="360" w:lineRule="auto"/>
        <w:ind w:firstLine="720"/>
        <w:jc w:val="both"/>
        <w:rPr>
          <w:sz w:val="28"/>
          <w:szCs w:val="28"/>
        </w:rPr>
      </w:pPr>
      <w:r>
        <w:rPr>
          <w:sz w:val="28"/>
          <w:szCs w:val="28"/>
        </w:rPr>
        <w:t xml:space="preserve">Где </w:t>
      </w:r>
      <w:r>
        <w:rPr>
          <w:sz w:val="28"/>
          <w:szCs w:val="28"/>
          <w:lang w:val="en-US"/>
        </w:rPr>
        <w:t>q</w:t>
      </w:r>
      <w:r>
        <w:rPr>
          <w:sz w:val="28"/>
          <w:szCs w:val="28"/>
        </w:rPr>
        <w:t xml:space="preserve">1 и </w:t>
      </w:r>
      <w:r>
        <w:rPr>
          <w:sz w:val="28"/>
          <w:szCs w:val="28"/>
          <w:lang w:val="en-US"/>
        </w:rPr>
        <w:t>p</w:t>
      </w:r>
      <w:r>
        <w:rPr>
          <w:sz w:val="28"/>
          <w:szCs w:val="28"/>
        </w:rPr>
        <w:t>1 тариф за рассматриваемый месяц, при этом за базисный месяц возьмем декабрь 1999 года</w:t>
      </w:r>
    </w:p>
    <w:p w:rsidR="00BF6100" w:rsidRDefault="00BF6100" w:rsidP="00BF6100">
      <w:pPr>
        <w:spacing w:line="360" w:lineRule="auto"/>
        <w:ind w:firstLine="720"/>
        <w:jc w:val="both"/>
        <w:rPr>
          <w:sz w:val="28"/>
          <w:szCs w:val="28"/>
        </w:rPr>
      </w:pPr>
      <w:r>
        <w:rPr>
          <w:sz w:val="28"/>
          <w:szCs w:val="28"/>
        </w:rPr>
        <w:t>Цепной сводный индекс цен:</w:t>
      </w:r>
    </w:p>
    <w:p w:rsidR="00BF6100" w:rsidRDefault="00BF6100" w:rsidP="00BF6100">
      <w:pPr>
        <w:spacing w:line="360" w:lineRule="auto"/>
        <w:ind w:firstLine="720"/>
        <w:jc w:val="both"/>
        <w:rPr>
          <w:sz w:val="28"/>
          <w:szCs w:val="28"/>
        </w:rPr>
      </w:pPr>
    </w:p>
    <w:p w:rsidR="00BF6100" w:rsidRDefault="00BF6100" w:rsidP="00BF6100">
      <w:pPr>
        <w:spacing w:line="360" w:lineRule="auto"/>
        <w:ind w:firstLine="720"/>
        <w:jc w:val="both"/>
        <w:rPr>
          <w:sz w:val="28"/>
          <w:szCs w:val="28"/>
        </w:rPr>
      </w:pPr>
      <w:r>
        <w:rPr>
          <w:position w:val="-32"/>
          <w:sz w:val="28"/>
          <w:szCs w:val="28"/>
        </w:rPr>
        <w:object w:dxaOrig="1920" w:dyaOrig="760">
          <v:shape id="_x0000_i1026" type="#_x0000_t75" style="width:96pt;height:38.25pt" o:ole="">
            <v:imagedata r:id="rId6" o:title=""/>
          </v:shape>
          <o:OLEObject Type="Embed" ProgID="Equation.3" ShapeID="_x0000_i1026" DrawAspect="Content" ObjectID="_1458148715" r:id="rId7"/>
        </w:object>
      </w:r>
    </w:p>
    <w:p w:rsidR="00BF6100" w:rsidRDefault="00BF6100" w:rsidP="00BF6100">
      <w:pPr>
        <w:spacing w:line="360" w:lineRule="auto"/>
        <w:ind w:firstLine="720"/>
        <w:jc w:val="both"/>
        <w:rPr>
          <w:sz w:val="28"/>
          <w:szCs w:val="28"/>
        </w:rPr>
      </w:pPr>
    </w:p>
    <w:p w:rsidR="00BF6100" w:rsidRDefault="00BF6100" w:rsidP="00BF6100">
      <w:pPr>
        <w:spacing w:line="360" w:lineRule="auto"/>
        <w:ind w:firstLine="720"/>
        <w:jc w:val="both"/>
        <w:rPr>
          <w:sz w:val="28"/>
          <w:szCs w:val="28"/>
        </w:rPr>
      </w:pPr>
      <w:r>
        <w:rPr>
          <w:sz w:val="28"/>
          <w:szCs w:val="28"/>
        </w:rPr>
        <w:t>Расчеты занесем в таблицу:</w:t>
      </w:r>
    </w:p>
    <w:p w:rsidR="00BF6100" w:rsidRDefault="00BF6100" w:rsidP="00BF6100">
      <w:pPr>
        <w:spacing w:line="360" w:lineRule="auto"/>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1"/>
        <w:gridCol w:w="336"/>
        <w:gridCol w:w="636"/>
        <w:gridCol w:w="636"/>
        <w:gridCol w:w="636"/>
        <w:gridCol w:w="636"/>
        <w:gridCol w:w="636"/>
        <w:gridCol w:w="636"/>
      </w:tblGrid>
      <w:tr w:rsidR="00BF6100">
        <w:trPr>
          <w:trHeight w:val="70"/>
        </w:trPr>
        <w:tc>
          <w:tcPr>
            <w:tcW w:w="0" w:type="auto"/>
            <w:tcBorders>
              <w:top w:val="single" w:sz="4" w:space="0" w:color="000000"/>
              <w:left w:val="single" w:sz="4" w:space="0" w:color="000000"/>
              <w:bottom w:val="single" w:sz="4" w:space="0" w:color="000000"/>
              <w:right w:val="single" w:sz="4" w:space="0" w:color="000000"/>
            </w:tcBorders>
          </w:tcPr>
          <w:p w:rsidR="00BF6100" w:rsidRDefault="00BF6100" w:rsidP="00BF6100">
            <w:pPr>
              <w:spacing w:line="360" w:lineRule="auto"/>
              <w:jc w:val="both"/>
              <w:rPr>
                <w:color w:val="000000"/>
              </w:rPr>
            </w:pPr>
            <w:r>
              <w:rPr>
                <w:color w:val="000000"/>
              </w:rPr>
              <w:t>Базисный сводный индекс цен</w:t>
            </w:r>
          </w:p>
        </w:tc>
        <w:tc>
          <w:tcPr>
            <w:tcW w:w="0" w:type="auto"/>
            <w:tcBorders>
              <w:top w:val="single" w:sz="4" w:space="0" w:color="000000"/>
              <w:left w:val="single" w:sz="4" w:space="0" w:color="000000"/>
              <w:bottom w:val="single" w:sz="4" w:space="0" w:color="000000"/>
              <w:right w:val="single" w:sz="4" w:space="0" w:color="000000"/>
            </w:tcBorders>
          </w:tcPr>
          <w:p w:rsidR="00BF6100" w:rsidRDefault="00BF6100" w:rsidP="00BF6100">
            <w:pPr>
              <w:spacing w:line="360" w:lineRule="auto"/>
              <w:jc w:val="both"/>
              <w:rPr>
                <w:color w:val="000000"/>
              </w:rP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1,08</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1,10</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1,14</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1,03</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1,14</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1,22</w:t>
            </w:r>
          </w:p>
        </w:tc>
      </w:tr>
      <w:tr w:rsidR="00BF6100">
        <w:trPr>
          <w:trHeight w:val="368"/>
        </w:trPr>
        <w:tc>
          <w:tcPr>
            <w:tcW w:w="0" w:type="auto"/>
            <w:tcBorders>
              <w:top w:val="single" w:sz="4" w:space="0" w:color="000000"/>
              <w:left w:val="single" w:sz="4" w:space="0" w:color="000000"/>
              <w:bottom w:val="single" w:sz="4" w:space="0" w:color="000000"/>
              <w:right w:val="single" w:sz="4" w:space="0" w:color="000000"/>
            </w:tcBorders>
          </w:tcPr>
          <w:p w:rsidR="00BF6100" w:rsidRDefault="00BF6100" w:rsidP="00BF6100">
            <w:pPr>
              <w:spacing w:line="360" w:lineRule="auto"/>
              <w:jc w:val="both"/>
              <w:rPr>
                <w:color w:val="000000"/>
              </w:rPr>
            </w:pPr>
            <w:r>
              <w:rPr>
                <w:color w:val="000000"/>
              </w:rPr>
              <w:t>Цепной сводный индекс цен</w:t>
            </w:r>
          </w:p>
        </w:tc>
        <w:tc>
          <w:tcPr>
            <w:tcW w:w="0" w:type="auto"/>
            <w:tcBorders>
              <w:top w:val="single" w:sz="4" w:space="0" w:color="000000"/>
              <w:left w:val="single" w:sz="4" w:space="0" w:color="000000"/>
              <w:bottom w:val="single" w:sz="4" w:space="0" w:color="000000"/>
              <w:right w:val="single" w:sz="4" w:space="0" w:color="000000"/>
            </w:tcBorders>
          </w:tcPr>
          <w:p w:rsidR="00BF6100" w:rsidRDefault="00BF6100" w:rsidP="00BF6100">
            <w:pPr>
              <w:spacing w:line="360" w:lineRule="auto"/>
              <w:jc w:val="both"/>
              <w:rPr>
                <w:color w:val="000000"/>
              </w:rP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1,08</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1,02</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1,03</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0,91</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1,11</w:t>
            </w:r>
          </w:p>
        </w:tc>
        <w:tc>
          <w:tcPr>
            <w:tcW w:w="0" w:type="auto"/>
            <w:tcBorders>
              <w:top w:val="single" w:sz="4" w:space="0" w:color="000000"/>
              <w:left w:val="single" w:sz="4" w:space="0" w:color="000000"/>
              <w:bottom w:val="single" w:sz="4" w:space="0" w:color="000000"/>
              <w:right w:val="single" w:sz="4" w:space="0" w:color="000000"/>
            </w:tcBorders>
            <w:noWrap/>
          </w:tcPr>
          <w:p w:rsidR="00BF6100" w:rsidRDefault="00BF6100" w:rsidP="00BF6100">
            <w:pPr>
              <w:spacing w:line="360" w:lineRule="auto"/>
              <w:jc w:val="both"/>
              <w:rPr>
                <w:color w:val="000000"/>
              </w:rPr>
            </w:pPr>
            <w:r>
              <w:rPr>
                <w:color w:val="000000"/>
              </w:rPr>
              <w:t>1,07</w:t>
            </w:r>
          </w:p>
        </w:tc>
      </w:tr>
    </w:tbl>
    <w:p w:rsidR="00BF6100" w:rsidRDefault="00BF6100" w:rsidP="00BF6100">
      <w:pPr>
        <w:spacing w:line="360" w:lineRule="auto"/>
        <w:ind w:firstLine="720"/>
        <w:jc w:val="both"/>
        <w:rPr>
          <w:sz w:val="28"/>
          <w:szCs w:val="28"/>
        </w:rPr>
      </w:pPr>
    </w:p>
    <w:p w:rsidR="00BF6100" w:rsidRDefault="00BF6100" w:rsidP="00BF6100">
      <w:pPr>
        <w:spacing w:line="360" w:lineRule="auto"/>
        <w:ind w:firstLine="720"/>
        <w:jc w:val="both"/>
        <w:rPr>
          <w:sz w:val="28"/>
          <w:szCs w:val="28"/>
        </w:rPr>
      </w:pPr>
      <w:r>
        <w:rPr>
          <w:sz w:val="28"/>
          <w:szCs w:val="28"/>
        </w:rPr>
        <w:t>Данные индексы отражают темп роста величины тарифа за проезд в сравнении с предыдущим и базовым периодами.</w:t>
      </w:r>
    </w:p>
    <w:p w:rsidR="00BF6100" w:rsidRDefault="00BF6100" w:rsidP="00BF6100">
      <w:pPr>
        <w:spacing w:line="360" w:lineRule="auto"/>
        <w:ind w:firstLine="720"/>
        <w:jc w:val="both"/>
        <w:rPr>
          <w:sz w:val="28"/>
          <w:szCs w:val="28"/>
        </w:rPr>
      </w:pPr>
      <w:r>
        <w:rPr>
          <w:sz w:val="28"/>
          <w:szCs w:val="28"/>
        </w:rPr>
        <w:t>Так, с декабря 1999 стоимость проезда увеличилась на 22%. Динамику изменения стоимости тарифа помесячно рассмотри на графике.</w:t>
      </w:r>
    </w:p>
    <w:p w:rsidR="0022319A" w:rsidRPr="0022319A" w:rsidRDefault="0022319A" w:rsidP="0022319A">
      <w:pPr>
        <w:spacing w:line="360" w:lineRule="auto"/>
        <w:ind w:firstLine="540"/>
        <w:jc w:val="both"/>
        <w:rPr>
          <w:sz w:val="28"/>
          <w:szCs w:val="28"/>
        </w:rPr>
      </w:pPr>
      <w:bookmarkStart w:id="0" w:name="_GoBack"/>
      <w:bookmarkEnd w:id="0"/>
    </w:p>
    <w:sectPr w:rsidR="0022319A" w:rsidRPr="00223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C2E"/>
    <w:rsid w:val="001B7CAE"/>
    <w:rsid w:val="0022319A"/>
    <w:rsid w:val="004148C6"/>
    <w:rsid w:val="004A149B"/>
    <w:rsid w:val="004E0A4E"/>
    <w:rsid w:val="0055483D"/>
    <w:rsid w:val="00772C2E"/>
    <w:rsid w:val="00780007"/>
    <w:rsid w:val="00826FDD"/>
    <w:rsid w:val="00872A2D"/>
    <w:rsid w:val="0089519C"/>
    <w:rsid w:val="00A36470"/>
    <w:rsid w:val="00A5313E"/>
    <w:rsid w:val="00AC0519"/>
    <w:rsid w:val="00B529C6"/>
    <w:rsid w:val="00B96F54"/>
    <w:rsid w:val="00BF6100"/>
    <w:rsid w:val="00E7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A46E663-496C-4EA9-9831-A6E52EF4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7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ОператорА1</dc:creator>
  <cp:keywords/>
  <cp:lastModifiedBy>admin</cp:lastModifiedBy>
  <cp:revision>2</cp:revision>
  <dcterms:created xsi:type="dcterms:W3CDTF">2014-04-04T17:32:00Z</dcterms:created>
  <dcterms:modified xsi:type="dcterms:W3CDTF">2014-04-04T17:32:00Z</dcterms:modified>
</cp:coreProperties>
</file>