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340" w:rsidRPr="00DD5AED" w:rsidRDefault="009A7340" w:rsidP="009A7340">
      <w:pPr>
        <w:spacing w:before="120"/>
        <w:jc w:val="center"/>
        <w:rPr>
          <w:b/>
          <w:bCs/>
          <w:sz w:val="32"/>
          <w:szCs w:val="32"/>
        </w:rPr>
      </w:pPr>
      <w:r w:rsidRPr="00DD5AED">
        <w:rPr>
          <w:b/>
          <w:bCs/>
          <w:sz w:val="32"/>
          <w:szCs w:val="32"/>
        </w:rPr>
        <w:t xml:space="preserve">Почем завод? </w:t>
      </w:r>
    </w:p>
    <w:p w:rsidR="009A7340" w:rsidRPr="00DD5AED" w:rsidRDefault="009A7340" w:rsidP="009A7340">
      <w:pPr>
        <w:spacing w:before="120"/>
        <w:jc w:val="center"/>
        <w:rPr>
          <w:sz w:val="28"/>
          <w:szCs w:val="28"/>
        </w:rPr>
      </w:pPr>
      <w:r w:rsidRPr="00DD5AED">
        <w:rPr>
          <w:sz w:val="28"/>
          <w:szCs w:val="28"/>
        </w:rPr>
        <w:t xml:space="preserve">Шакин Вячеслав - Российское общество оценщиков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Новый подход к оценке бизнеса предполагает обработку данных, характеризующих динамику прибыли по годам планового периода. Алгоритмы расчета основаны на методе дисконтирования денежных потоков. Предлагается иной порядок расчета нормы дисконтирования и коэффициента капитализации. Методика рассматривается в рамках вопросов управления стоимостью действующего предприятия. </w:t>
      </w:r>
    </w:p>
    <w:p w:rsidR="009A7340" w:rsidRPr="00DD5AED" w:rsidRDefault="009A7340" w:rsidP="009A7340">
      <w:pPr>
        <w:spacing w:before="120"/>
        <w:jc w:val="center"/>
        <w:rPr>
          <w:b/>
          <w:bCs/>
          <w:sz w:val="28"/>
          <w:szCs w:val="28"/>
        </w:rPr>
      </w:pPr>
      <w:r w:rsidRPr="00DD5AED">
        <w:rPr>
          <w:b/>
          <w:bCs/>
          <w:sz w:val="28"/>
          <w:szCs w:val="28"/>
        </w:rPr>
        <w:t xml:space="preserve">Методика экспресс-оценки действующего предприятия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Цель оценки бизнеса должна соответствовать содержанию метода расчета. Сущность рыночной стоимости предприятия корреспондирует содержанию метода - дисконтирование денежного потока. Предметом нашего рассмотрения станут: концепция, основные положения и алгоритмы.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Концепция оценки стоимости действующего предприятия базируется на динамике показателей роста чистой прибыли в годы будущего периода по отношению к базисному году. Содержание метода оценки включает следующие положения: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формирование денежного потока;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расчет ставки дисконтирования и коэффициента капитализации;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расчет стоимости продажи бизнеса;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расчет текущей стоимости денежного потока и стоимость продажи бизнеса;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</w:t>
      </w:r>
      <w:r>
        <w:t xml:space="preserve"> </w:t>
      </w:r>
      <w:r w:rsidRPr="00DD5AED">
        <w:t xml:space="preserve">расчет стоимости бизнеса с учетом уровня использования мощности.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Денежный поток определяется плановым объемом роста чистой прибыли, полученной в результате осуществления всех видов предпринимательской деятельности. Количественное значение показателя должно определяться путем осуществления процедур бизнес-планирования, как правило, сроком на пять лет. Экономическое содержание денежного потока составляет объем вновь созданной стоимости. Увеличение новой стоимости происходит в результате функционирования и совершенствования производства с учетом реализации инвестиционных проектов, финансируемых за счет собственных и заемных средств. Цели технического развития: экономия амортизационных отчислений, эффективность оборотных средств, доходов от долгосрочных и краткосрочных финансовых вложений и других факторов.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Ставка дисконтирования определяется как результат расчета среднегодового роста расчетных показателей чистой плановой прибыли в текущих ценах за годы периода. При расчете коэффициента капитализации используются аналогичные показатели, но в сопоставимых ценах. Алгоритм строится по формуле сложных процентов.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Стоимость продажи бизнеса выводится из капитализации, т.е. результата частного отделения значения чистой прибыли последнего (постпрогнозного) года и величины коэффициента капитализации.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Текущая стоимость отдельных лет денежного потока и стоимость продажи бизнеса определяются дисконтированием на базовый год, т.е. представляют результат частного от деления чистой плановой прибыли в годы периода и средней нормы дисконтирования. Оценка стоимости бизнеса определяется как сумма текущей стоимости в годы денежного потока и стоимости продажи бизнеса с учетом степени использования мощности предприятия. Показатель уровня мощности рассчитывается как частное от деления фактического годового выпуска продукции на максимально возможный годовой выпуск продукции.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Значения показателей, алгоритм и результаты расчета приведены выше.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Предлагаемый метод имеет три отличия от известного алгоритма дисконтирования денежных потоков. Первое состоит в том, что определение ставки дисконтирования производится путем алгоритма расчета. Второе отличие: при расчете коэффициента капитализации используются данные среднего прироста чистой прибыли в сопоставимых ценах. Этот показатель объективно отражает реальный рост денежного потока. Третье отличие в том, что вводится корректировка оценки стоимости действующего предприятия в зависимости от уровня использования его мощности. Метод представляет собой одно из прав оценщика, определенное ст. 14 ФЗ &lt;Об оценочной деятельности в Российской Федерации&gt;, а именно: право &lt;применять самостоятельно методы проведения оценки объекта оценки в соответствии со стандартами оценки&gt;.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Итак, значение оценки стоимости бизнеса заключается не только в получении данных, необходимых для осуществления сделок купли/продажи действующего предприятия или его акций. Другим, более важным направлением использования предлагаемой методики является оценка качества управления процессом повышения экономической эффективности производственной и коммерческой деятельности предприятия. Иными словами, данные экспресс-оценки бизнеса могут быть применены для организации своеобразного мониторинга результативности управления всей совокупностью мероприятий по реализации намеченной стратегии развития или управления стоимостью действующего предприятия.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Спрашивали?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Почему меняется роль налогового подразделения в современной компании?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>Дмитрий Шоцкий</w:t>
      </w:r>
      <w:r>
        <w:t xml:space="preserve"> </w:t>
      </w:r>
      <w:r w:rsidRPr="00DD5AED">
        <w:t xml:space="preserve">старший менеджер, PricewaterhouseCoopers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Множество внешних и внутренних факторов влияют на современные компании и их налоговые подразделения, заставляя искать новые подходы к управлению налоговыми обязательствами.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В настоящее время управление налогами должно стать частью системы управления компанией и ее общей стратегии, а не планом уплаты налогов за определенный период деятельности, как это было раньше. Результатом внедрения такого подхода должно быть максимальное вовлечение налоговых специалистов в процесс принятия управленческих решений на всех его стадиях. Сейчас налоговые подразделения зачастую ставят перед уже свершившимися фактами (сделками, операциями, реорганизацией и т.д.), что нередко влечет дополнительные затраты и проблемы, связанные с их разрешением.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Также новый подход к налоговому планированию обусловлен тем, что эффективное руководство налоговой службой, прозрачность налоговой стратегии и учет социальных факторов в налоговой политике безусловно, способствуют росту акционерной стоимости компаний на фондовом рынке.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К основным внешним факторам, обуславливающим изменение подхода к управлению налоговыми обязательствами, можно отнести: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1) сокращение возможностей компаний для уменьшения налогового бремени. Яркий пример: отмена с 1 января 2004 г. льгот, предоставляемых местным законодательством. Это значит, что старые методы налогового планирования, основанные на дифференциации ставок налогов, теряют актуальность, а на смену им должно прийти грамотное налоговое планирование в виде управления налоговой функцией компании;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2) налоговое законодательство практически выделено в самостоятельную отрасль права. Ответственность за налоговые правонарушения предусмотрена в Налоговом кодексе РФ, Кодексе РФ об административных правонарушениях, а за налоговые преступления - в Уголовном кодексе РФ. Учитывая, что российское законодательство изобилует противоречиями, отсутствие системы управления рисками в налоговой сфере может привести к негативным последствиям для компании и ее руководства;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3) возросший контроль со стороны правоохранительных и налоговых органов, обусловленный как ростом профессионализма их сотрудников, так и улучшением технической оснащенности налоговых органов, созданием единых баз данных.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Основными элементами, которыми можно и нужно управлять и которые необходимо оценивать, в рамках современного подхода к управлению налогами, являются: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налоговые риски;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затраты, возникающие в связи с деятельностью налоговой службы;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структура налоговой службы;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информационное взаимодействие как внутри налоговой службы, так и с другими департаментами;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соблюдение действующего законодательства и налоговая отчетность;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налоговые последствия крупных сделок и структурных преобразований; </w:t>
      </w:r>
    </w:p>
    <w:p w:rsidR="009A7340" w:rsidRPr="00DD5AED" w:rsidRDefault="009A7340" w:rsidP="009A7340">
      <w:pPr>
        <w:spacing w:before="120"/>
        <w:ind w:firstLine="567"/>
        <w:jc w:val="both"/>
      </w:pPr>
      <w:r w:rsidRPr="00DD5AED">
        <w:t xml:space="preserve">персонал и менеджмент налоговой службы.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40"/>
    <w:rsid w:val="005637F7"/>
    <w:rsid w:val="006B11B3"/>
    <w:rsid w:val="006E7A9E"/>
    <w:rsid w:val="009A7340"/>
    <w:rsid w:val="00D06043"/>
    <w:rsid w:val="00D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F0F1F8-71C7-4A53-9AD6-E2EBC0A7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7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 завод</vt:lpstr>
    </vt:vector>
  </TitlesOfParts>
  <Company>Home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 завод</dc:title>
  <dc:subject/>
  <dc:creator>User</dc:creator>
  <cp:keywords/>
  <dc:description/>
  <cp:lastModifiedBy>admin</cp:lastModifiedBy>
  <cp:revision>2</cp:revision>
  <dcterms:created xsi:type="dcterms:W3CDTF">2014-02-14T16:55:00Z</dcterms:created>
  <dcterms:modified xsi:type="dcterms:W3CDTF">2014-02-14T16:55:00Z</dcterms:modified>
</cp:coreProperties>
</file>