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D02" w:rsidRDefault="00B84D02">
      <w:pPr>
        <w:pStyle w:val="Default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B84D02" w:rsidRDefault="00B84D02">
      <w:pPr>
        <w:pStyle w:val="Default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B84D02" w:rsidRDefault="00B84D02">
      <w:pPr>
        <w:pStyle w:val="Default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B84D02" w:rsidRDefault="00B84D02">
      <w:pPr>
        <w:pStyle w:val="Default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B84D02" w:rsidRDefault="00B84D02">
      <w:pPr>
        <w:pStyle w:val="Default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B84D02" w:rsidRDefault="00B84D02">
      <w:pPr>
        <w:pStyle w:val="Default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B84D02" w:rsidRDefault="00B36367">
      <w:pPr>
        <w:pStyle w:val="Default"/>
        <w:spacing w:line="360" w:lineRule="auto"/>
        <w:ind w:firstLine="709"/>
        <w:jc w:val="center"/>
        <w:rPr>
          <w:b/>
          <w:bCs/>
          <w:sz w:val="72"/>
          <w:szCs w:val="72"/>
          <w:lang w:val="en-US"/>
        </w:rPr>
      </w:pPr>
      <w:r>
        <w:rPr>
          <w:b/>
          <w:bCs/>
          <w:sz w:val="72"/>
          <w:szCs w:val="72"/>
        </w:rPr>
        <w:t>Реферат</w:t>
      </w:r>
    </w:p>
    <w:p w:rsidR="00B84D02" w:rsidRDefault="00B36367">
      <w:pPr>
        <w:pStyle w:val="Default"/>
        <w:spacing w:line="360" w:lineRule="auto"/>
        <w:ind w:firstLine="709"/>
        <w:jc w:val="center"/>
        <w:rPr>
          <w:sz w:val="32"/>
          <w:szCs w:val="32"/>
          <w:lang w:val="uk-UA"/>
        </w:rPr>
      </w:pPr>
      <w:r>
        <w:rPr>
          <w:sz w:val="32"/>
          <w:szCs w:val="32"/>
          <w:u w:val="words"/>
          <w:lang w:val="uk-UA"/>
        </w:rPr>
        <w:t>Податок на рекламу</w:t>
      </w:r>
      <w:r>
        <w:rPr>
          <w:sz w:val="32"/>
          <w:szCs w:val="32"/>
        </w:rPr>
        <w:t xml:space="preserve"> </w:t>
      </w:r>
    </w:p>
    <w:p w:rsidR="00B84D02" w:rsidRDefault="00B84D02">
      <w:pPr>
        <w:pStyle w:val="Default"/>
        <w:spacing w:line="360" w:lineRule="auto"/>
        <w:ind w:firstLine="709"/>
        <w:jc w:val="center"/>
        <w:rPr>
          <w:sz w:val="32"/>
          <w:szCs w:val="32"/>
          <w:lang w:val="uk-UA"/>
        </w:rPr>
      </w:pPr>
    </w:p>
    <w:p w:rsidR="00B84D02" w:rsidRDefault="00B84D02">
      <w:pPr>
        <w:pStyle w:val="Default"/>
        <w:spacing w:line="360" w:lineRule="auto"/>
        <w:ind w:firstLine="709"/>
        <w:jc w:val="center"/>
        <w:rPr>
          <w:sz w:val="32"/>
          <w:szCs w:val="32"/>
          <w:lang w:val="uk-UA"/>
        </w:rPr>
      </w:pPr>
    </w:p>
    <w:p w:rsidR="00B84D02" w:rsidRDefault="00B84D02">
      <w:pPr>
        <w:pStyle w:val="Default"/>
        <w:spacing w:line="360" w:lineRule="auto"/>
        <w:ind w:firstLine="709"/>
        <w:jc w:val="center"/>
        <w:rPr>
          <w:sz w:val="32"/>
          <w:szCs w:val="32"/>
          <w:lang w:val="uk-UA"/>
        </w:rPr>
      </w:pPr>
    </w:p>
    <w:p w:rsidR="00B84D02" w:rsidRDefault="00B84D02">
      <w:pPr>
        <w:pStyle w:val="Default"/>
        <w:spacing w:line="360" w:lineRule="auto"/>
        <w:ind w:firstLine="709"/>
        <w:jc w:val="center"/>
        <w:rPr>
          <w:sz w:val="32"/>
          <w:szCs w:val="32"/>
          <w:lang w:val="uk-UA"/>
        </w:rPr>
      </w:pPr>
    </w:p>
    <w:p w:rsidR="00B84D02" w:rsidRDefault="00B36367">
      <w:pPr>
        <w:pStyle w:val="Default"/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B84D02" w:rsidRDefault="00B36367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B84D02" w:rsidRDefault="00B36367">
      <w:pPr>
        <w:pStyle w:val="Default"/>
        <w:numPr>
          <w:ilvl w:val="0"/>
          <w:numId w:val="1"/>
        </w:num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lang w:val="uk-UA"/>
        </w:rPr>
        <w:t>Вступ</w:t>
      </w:r>
    </w:p>
    <w:p w:rsidR="00B84D02" w:rsidRDefault="00B36367">
      <w:pPr>
        <w:pStyle w:val="Default"/>
        <w:numPr>
          <w:ilvl w:val="0"/>
          <w:numId w:val="1"/>
        </w:num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Проект Закону „Про місцеві податки і збори”</w:t>
      </w:r>
    </w:p>
    <w:p w:rsidR="00B84D02" w:rsidRDefault="00B36367">
      <w:pPr>
        <w:pStyle w:val="Default"/>
        <w:numPr>
          <w:ilvl w:val="0"/>
          <w:numId w:val="1"/>
        </w:num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>3. Особливості стягнення</w:t>
      </w:r>
    </w:p>
    <w:p w:rsidR="00B84D02" w:rsidRDefault="00B36367">
      <w:pPr>
        <w:pStyle w:val="Default"/>
        <w:numPr>
          <w:ilvl w:val="0"/>
          <w:numId w:val="1"/>
        </w:num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>4.Види місцевих податків і зборів</w:t>
      </w:r>
    </w:p>
    <w:p w:rsidR="00B84D02" w:rsidRDefault="00B36367">
      <w:pPr>
        <w:pStyle w:val="Default"/>
        <w:numPr>
          <w:ilvl w:val="0"/>
          <w:numId w:val="1"/>
        </w:num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>5. Положення про податок на рекламу</w:t>
      </w:r>
    </w:p>
    <w:p w:rsidR="00B84D02" w:rsidRDefault="00B36367">
      <w:pPr>
        <w:pStyle w:val="Default"/>
        <w:numPr>
          <w:ilvl w:val="0"/>
          <w:numId w:val="1"/>
        </w:num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Особливості стягнення у різних містах України</w:t>
      </w:r>
    </w:p>
    <w:p w:rsidR="00B84D02" w:rsidRDefault="00B36367">
      <w:pPr>
        <w:pStyle w:val="Default"/>
        <w:numPr>
          <w:ilvl w:val="0"/>
          <w:numId w:val="1"/>
        </w:num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>7. Використана література</w:t>
      </w:r>
    </w:p>
    <w:p w:rsidR="00B84D02" w:rsidRDefault="00B84D02">
      <w:pPr>
        <w:pStyle w:val="Default"/>
        <w:spacing w:line="360" w:lineRule="auto"/>
        <w:ind w:firstLine="709"/>
        <w:rPr>
          <w:sz w:val="28"/>
          <w:szCs w:val="28"/>
        </w:rPr>
      </w:pPr>
    </w:p>
    <w:p w:rsidR="00B84D02" w:rsidRDefault="00B84D02">
      <w:pPr>
        <w:pStyle w:val="Default"/>
        <w:spacing w:line="360" w:lineRule="auto"/>
        <w:ind w:firstLine="709"/>
        <w:rPr>
          <w:sz w:val="28"/>
          <w:szCs w:val="28"/>
          <w:lang w:val="uk-UA"/>
        </w:rPr>
      </w:pPr>
    </w:p>
    <w:p w:rsidR="00B84D02" w:rsidRDefault="00B84D02">
      <w:pPr>
        <w:pStyle w:val="Default"/>
        <w:spacing w:line="360" w:lineRule="auto"/>
        <w:ind w:firstLine="709"/>
        <w:rPr>
          <w:sz w:val="28"/>
          <w:szCs w:val="28"/>
          <w:lang w:val="uk-UA"/>
        </w:rPr>
      </w:pPr>
    </w:p>
    <w:p w:rsidR="00B84D02" w:rsidRDefault="00B84D02">
      <w:pPr>
        <w:pStyle w:val="Default"/>
        <w:spacing w:line="360" w:lineRule="auto"/>
        <w:ind w:firstLine="709"/>
        <w:rPr>
          <w:sz w:val="28"/>
          <w:szCs w:val="28"/>
          <w:lang w:val="uk-UA"/>
        </w:rPr>
      </w:pPr>
    </w:p>
    <w:p w:rsidR="00B84D02" w:rsidRDefault="00B84D02">
      <w:pPr>
        <w:pStyle w:val="Default"/>
        <w:spacing w:line="360" w:lineRule="auto"/>
        <w:ind w:firstLine="709"/>
        <w:rPr>
          <w:sz w:val="28"/>
          <w:szCs w:val="28"/>
          <w:lang w:val="uk-UA"/>
        </w:rPr>
      </w:pPr>
    </w:p>
    <w:p w:rsidR="00B84D02" w:rsidRDefault="00B84D02">
      <w:pPr>
        <w:pStyle w:val="Default"/>
        <w:spacing w:line="360" w:lineRule="auto"/>
        <w:ind w:firstLine="709"/>
        <w:rPr>
          <w:sz w:val="28"/>
          <w:szCs w:val="28"/>
          <w:lang w:val="uk-UA"/>
        </w:rPr>
      </w:pPr>
    </w:p>
    <w:p w:rsidR="00B84D02" w:rsidRDefault="00B84D02">
      <w:pPr>
        <w:pStyle w:val="Default"/>
        <w:spacing w:line="360" w:lineRule="auto"/>
        <w:ind w:firstLine="709"/>
        <w:rPr>
          <w:sz w:val="28"/>
          <w:szCs w:val="28"/>
          <w:lang w:val="uk-UA"/>
        </w:rPr>
      </w:pPr>
    </w:p>
    <w:p w:rsidR="00B84D02" w:rsidRDefault="00B84D02">
      <w:pPr>
        <w:pStyle w:val="Default"/>
        <w:spacing w:line="360" w:lineRule="auto"/>
        <w:ind w:firstLine="709"/>
        <w:rPr>
          <w:sz w:val="28"/>
          <w:szCs w:val="28"/>
          <w:lang w:val="uk-UA"/>
        </w:rPr>
      </w:pPr>
    </w:p>
    <w:p w:rsidR="00B84D02" w:rsidRDefault="00B84D02">
      <w:pPr>
        <w:pStyle w:val="Default"/>
        <w:spacing w:line="360" w:lineRule="auto"/>
        <w:ind w:firstLine="709"/>
        <w:rPr>
          <w:sz w:val="28"/>
          <w:szCs w:val="28"/>
          <w:lang w:val="uk-UA"/>
        </w:rPr>
      </w:pPr>
    </w:p>
    <w:p w:rsidR="00B84D02" w:rsidRDefault="00B84D02">
      <w:pPr>
        <w:pStyle w:val="Default"/>
        <w:spacing w:line="360" w:lineRule="auto"/>
        <w:ind w:firstLine="709"/>
        <w:rPr>
          <w:sz w:val="28"/>
          <w:szCs w:val="28"/>
          <w:lang w:val="uk-UA"/>
        </w:rPr>
      </w:pPr>
    </w:p>
    <w:p w:rsidR="00B84D02" w:rsidRDefault="00B84D02">
      <w:pPr>
        <w:pStyle w:val="Default"/>
        <w:spacing w:line="360" w:lineRule="auto"/>
        <w:ind w:firstLine="709"/>
        <w:rPr>
          <w:sz w:val="28"/>
          <w:szCs w:val="28"/>
          <w:lang w:val="uk-UA"/>
        </w:rPr>
      </w:pPr>
    </w:p>
    <w:p w:rsidR="00B84D02" w:rsidRDefault="00B84D02">
      <w:pPr>
        <w:pStyle w:val="Default"/>
        <w:spacing w:line="360" w:lineRule="auto"/>
        <w:ind w:firstLine="709"/>
        <w:rPr>
          <w:sz w:val="28"/>
          <w:szCs w:val="28"/>
          <w:lang w:val="uk-UA"/>
        </w:rPr>
      </w:pPr>
    </w:p>
    <w:p w:rsidR="00B84D02" w:rsidRDefault="00B84D02">
      <w:pPr>
        <w:pStyle w:val="Default"/>
        <w:spacing w:line="360" w:lineRule="auto"/>
        <w:ind w:firstLine="709"/>
        <w:rPr>
          <w:sz w:val="28"/>
          <w:szCs w:val="28"/>
          <w:lang w:val="uk-UA"/>
        </w:rPr>
      </w:pPr>
    </w:p>
    <w:p w:rsidR="00B84D02" w:rsidRDefault="00B84D02">
      <w:pPr>
        <w:pStyle w:val="Default"/>
        <w:spacing w:line="360" w:lineRule="auto"/>
        <w:ind w:firstLine="709"/>
        <w:rPr>
          <w:sz w:val="28"/>
          <w:szCs w:val="28"/>
          <w:lang w:val="uk-UA"/>
        </w:rPr>
      </w:pPr>
    </w:p>
    <w:p w:rsidR="00B84D02" w:rsidRDefault="00B84D02">
      <w:pPr>
        <w:pStyle w:val="Default"/>
        <w:spacing w:line="360" w:lineRule="auto"/>
        <w:ind w:firstLine="709"/>
        <w:rPr>
          <w:sz w:val="28"/>
          <w:szCs w:val="28"/>
          <w:lang w:val="uk-UA"/>
        </w:rPr>
      </w:pPr>
    </w:p>
    <w:p w:rsidR="00B84D02" w:rsidRDefault="00B84D02">
      <w:pPr>
        <w:pStyle w:val="Default"/>
        <w:spacing w:line="360" w:lineRule="auto"/>
        <w:ind w:firstLine="709"/>
        <w:rPr>
          <w:sz w:val="28"/>
          <w:szCs w:val="28"/>
          <w:lang w:val="uk-UA"/>
        </w:rPr>
      </w:pPr>
    </w:p>
    <w:p w:rsidR="00B84D02" w:rsidRDefault="00B84D02">
      <w:pPr>
        <w:pStyle w:val="Default"/>
        <w:spacing w:line="360" w:lineRule="auto"/>
        <w:ind w:firstLine="709"/>
        <w:rPr>
          <w:sz w:val="28"/>
          <w:szCs w:val="28"/>
          <w:lang w:val="uk-UA"/>
        </w:rPr>
      </w:pPr>
    </w:p>
    <w:p w:rsidR="00B84D02" w:rsidRDefault="00B84D02">
      <w:pPr>
        <w:pStyle w:val="Default"/>
        <w:spacing w:line="360" w:lineRule="auto"/>
        <w:ind w:firstLine="709"/>
        <w:rPr>
          <w:sz w:val="28"/>
          <w:szCs w:val="28"/>
          <w:lang w:val="uk-UA"/>
        </w:rPr>
      </w:pPr>
    </w:p>
    <w:p w:rsidR="00B84D02" w:rsidRDefault="00B84D02">
      <w:pPr>
        <w:pStyle w:val="Default"/>
        <w:spacing w:line="360" w:lineRule="auto"/>
        <w:ind w:firstLine="709"/>
        <w:rPr>
          <w:sz w:val="28"/>
          <w:szCs w:val="28"/>
          <w:lang w:val="uk-UA"/>
        </w:rPr>
      </w:pPr>
    </w:p>
    <w:p w:rsidR="00B84D02" w:rsidRDefault="00B84D02">
      <w:pPr>
        <w:pStyle w:val="Default"/>
        <w:spacing w:line="360" w:lineRule="auto"/>
        <w:ind w:firstLine="709"/>
        <w:rPr>
          <w:sz w:val="28"/>
          <w:szCs w:val="28"/>
          <w:lang w:val="uk-UA"/>
        </w:rPr>
      </w:pPr>
    </w:p>
    <w:p w:rsidR="00B84D02" w:rsidRDefault="00B84D02">
      <w:pPr>
        <w:pStyle w:val="Default"/>
        <w:spacing w:line="360" w:lineRule="auto"/>
        <w:ind w:firstLine="709"/>
        <w:rPr>
          <w:sz w:val="28"/>
          <w:szCs w:val="28"/>
          <w:lang w:val="uk-UA"/>
        </w:rPr>
      </w:pPr>
    </w:p>
    <w:p w:rsidR="00B84D02" w:rsidRDefault="00B84D02">
      <w:pPr>
        <w:pStyle w:val="Default"/>
        <w:spacing w:line="360" w:lineRule="auto"/>
        <w:ind w:firstLine="709"/>
        <w:rPr>
          <w:sz w:val="28"/>
          <w:szCs w:val="28"/>
          <w:lang w:val="uk-UA"/>
        </w:rPr>
      </w:pPr>
    </w:p>
    <w:p w:rsidR="00B84D02" w:rsidRDefault="00B84D02">
      <w:pPr>
        <w:pStyle w:val="Default"/>
        <w:spacing w:line="360" w:lineRule="auto"/>
        <w:ind w:firstLine="709"/>
        <w:rPr>
          <w:sz w:val="28"/>
          <w:szCs w:val="28"/>
          <w:lang w:val="uk-UA"/>
        </w:rPr>
      </w:pPr>
    </w:p>
    <w:p w:rsidR="00B84D02" w:rsidRDefault="00B36367">
      <w:pPr>
        <w:pStyle w:val="Default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ВСТУП</w:t>
      </w:r>
    </w:p>
    <w:p w:rsidR="00B84D02" w:rsidRDefault="00B84D02">
      <w:pPr>
        <w:pStyle w:val="Default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B84D02" w:rsidRDefault="00B36367">
      <w:pPr>
        <w:pStyle w:val="Default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Податок з реклами </w:t>
      </w:r>
      <w:r>
        <w:rPr>
          <w:bCs/>
          <w:i/>
          <w:iCs/>
          <w:sz w:val="28"/>
          <w:szCs w:val="28"/>
          <w:lang w:val="uk-UA"/>
        </w:rPr>
        <w:t>(</w:t>
      </w:r>
      <w:r>
        <w:rPr>
          <w:bCs/>
          <w:i/>
          <w:iCs/>
          <w:sz w:val="28"/>
          <w:szCs w:val="28"/>
        </w:rPr>
        <w:t>Advertising</w:t>
      </w:r>
      <w:r>
        <w:rPr>
          <w:bCs/>
          <w:i/>
          <w:iCs/>
          <w:sz w:val="28"/>
          <w:szCs w:val="28"/>
          <w:lang w:val="uk-UA"/>
        </w:rPr>
        <w:t xml:space="preserve"> </w:t>
      </w:r>
      <w:r>
        <w:rPr>
          <w:bCs/>
          <w:i/>
          <w:iCs/>
          <w:sz w:val="28"/>
          <w:szCs w:val="28"/>
        </w:rPr>
        <w:t>Tax</w:t>
      </w:r>
      <w:r>
        <w:rPr>
          <w:bCs/>
          <w:i/>
          <w:iCs/>
          <w:sz w:val="28"/>
          <w:szCs w:val="28"/>
          <w:lang w:val="uk-UA"/>
        </w:rPr>
        <w:t xml:space="preserve">) </w:t>
      </w:r>
      <w:r>
        <w:rPr>
          <w:bCs/>
          <w:sz w:val="28"/>
          <w:szCs w:val="28"/>
          <w:lang w:val="uk-UA"/>
        </w:rPr>
        <w:t>– місцевий непрямий податок, що стягується з вартості послуг за встановлення та розміщення оголошень і повідомлень, які передають інформацію з комерційною метою за допомогою засобів масової інформації, преси, телебачення, афіш, плакатів, рекламних щитів, інших технічних засобів, майна та одягу; на вулицях, магістралях, майданах, будинках, транспорті та в інших місцях.</w:t>
      </w:r>
    </w:p>
    <w:p w:rsidR="00B84D02" w:rsidRDefault="00B84D02">
      <w:pPr>
        <w:pStyle w:val="Default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B84D02" w:rsidRDefault="00B36367">
      <w:pPr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Відповідно до ст. 1 Закону України "Про рекламу" від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3 липня 1996 р. реклама - це спеціальна інформація щодо осіб або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продукції, яка поширюється у будь-якій формі або будь-яким способом з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метою прямого або опосередкованого отримання прибутку.</w:t>
      </w:r>
    </w:p>
    <w:p w:rsidR="00B84D02" w:rsidRDefault="00B84D02">
      <w:pPr>
        <w:pStyle w:val="Default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B84D02" w:rsidRDefault="00B84D02">
      <w:pPr>
        <w:pStyle w:val="Default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B84D02" w:rsidRDefault="00B84D02">
      <w:pPr>
        <w:pStyle w:val="Default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B84D02" w:rsidRDefault="00B84D02">
      <w:pPr>
        <w:pStyle w:val="Default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B84D02" w:rsidRDefault="00B84D02">
      <w:pPr>
        <w:pStyle w:val="Default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B84D02" w:rsidRDefault="00B84D02">
      <w:pPr>
        <w:pStyle w:val="Default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B84D02" w:rsidRDefault="00B84D02">
      <w:pPr>
        <w:pStyle w:val="Default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B84D02" w:rsidRDefault="00B84D02">
      <w:pPr>
        <w:pStyle w:val="Default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B84D02" w:rsidRDefault="00B84D02">
      <w:pPr>
        <w:pStyle w:val="Default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B84D02" w:rsidRDefault="00B84D02">
      <w:pPr>
        <w:pStyle w:val="Default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B84D02" w:rsidRDefault="00B84D02">
      <w:pPr>
        <w:pStyle w:val="Default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B84D02" w:rsidRDefault="00B84D02">
      <w:pPr>
        <w:pStyle w:val="Default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B84D02" w:rsidRDefault="00B84D02">
      <w:pPr>
        <w:pStyle w:val="Default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B84D02" w:rsidRDefault="00B84D02">
      <w:pPr>
        <w:pStyle w:val="Default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B84D02" w:rsidRDefault="00B84D02">
      <w:pPr>
        <w:pStyle w:val="Default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B84D02" w:rsidRDefault="00B84D02">
      <w:pPr>
        <w:pStyle w:val="Default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B84D02" w:rsidRDefault="00B84D02">
      <w:pPr>
        <w:pStyle w:val="Default"/>
        <w:spacing w:line="360" w:lineRule="auto"/>
        <w:ind w:firstLine="709"/>
        <w:rPr>
          <w:b/>
          <w:sz w:val="28"/>
          <w:szCs w:val="28"/>
        </w:rPr>
      </w:pPr>
    </w:p>
    <w:p w:rsidR="00B84D02" w:rsidRDefault="00B36367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ПРОЕКТ ЗАКОНУ «ПРО МІСЦЕВІ ПОДАТКИ І ЗБОРИ»</w:t>
      </w:r>
    </w:p>
    <w:p w:rsidR="00B84D02" w:rsidRDefault="00B84D02">
      <w:pPr>
        <w:pStyle w:val="Default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B84D02" w:rsidRDefault="00B3636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Нині підготовлено проект Закону «Про місцеві податки і збори», що передбачає внесення певних змін до їх складу і методики визначення. Загальну їх кількість зменшено до 14. Проте в проекті названого закону передбачено запровадження нових зборів: </w:t>
      </w:r>
    </w:p>
    <w:p w:rsidR="00B84D02" w:rsidRDefault="00B36367">
      <w:pPr>
        <w:pStyle w:val="Default"/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за надання в користування земельних ділянок для будівництва об'єктів виробничого і невиробничого призначення, індивідуального житла та гаражів у населених пунктах; </w:t>
      </w:r>
    </w:p>
    <w:p w:rsidR="00B84D02" w:rsidRDefault="00B36367">
      <w:pPr>
        <w:pStyle w:val="Default"/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за право розміщення офісів суб'єктів підприємницької діяльності у центральній частині населеного пункту та в будівлях, які мають історико-архітектурну цінність; </w:t>
      </w:r>
    </w:p>
    <w:p w:rsidR="00B84D02" w:rsidRDefault="00B36367">
      <w:pPr>
        <w:pStyle w:val="Default"/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за здійснення міжнародного туризму. </w:t>
      </w:r>
    </w:p>
    <w:p w:rsidR="00B84D02" w:rsidRDefault="00B84D02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84D02" w:rsidRDefault="00B84D02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B84D02" w:rsidRDefault="00B84D02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B84D02" w:rsidRDefault="00B84D02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B84D02" w:rsidRDefault="00B84D02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B84D02" w:rsidRDefault="00B84D02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B84D02" w:rsidRDefault="00B84D02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B84D02" w:rsidRDefault="00B84D02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B84D02" w:rsidRDefault="00B84D02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B84D02" w:rsidRDefault="00B84D02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B84D02" w:rsidRDefault="00B84D02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B84D02" w:rsidRDefault="00B84D02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B84D02" w:rsidRDefault="00B84D02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B84D02" w:rsidRDefault="00B84D02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B84D02" w:rsidRDefault="00B84D02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B84D02" w:rsidRDefault="00B84D02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B84D02" w:rsidRDefault="00B36367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ОСОБЛИВОСТІ СТЯГНЕННЯ</w:t>
      </w:r>
    </w:p>
    <w:p w:rsidR="00B84D02" w:rsidRDefault="00B84D02">
      <w:pPr>
        <w:pStyle w:val="Default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B84D02" w:rsidRDefault="00B36367">
      <w:pPr>
        <w:pStyle w:val="Default"/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Місцеві податки і збори включаються до складу валових витрат, які виключаються зі скоригованого валового доходу, а отже, зменшують суму оподатковуваного прибутку. </w:t>
      </w:r>
    </w:p>
    <w:p w:rsidR="00B84D02" w:rsidRDefault="00B36367">
      <w:pPr>
        <w:pStyle w:val="Default"/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Місцеві податки і збори суб'єкти господарювання відносять на собівартість продукції (робіт, послуг), що впливає на формування їхнього прибутку. </w:t>
      </w:r>
    </w:p>
    <w:p w:rsidR="00B84D02" w:rsidRDefault="00B84D02">
      <w:pPr>
        <w:pStyle w:val="Default"/>
        <w:spacing w:line="360" w:lineRule="auto"/>
        <w:ind w:firstLine="709"/>
        <w:rPr>
          <w:sz w:val="28"/>
          <w:szCs w:val="28"/>
        </w:rPr>
      </w:pPr>
    </w:p>
    <w:p w:rsidR="00B84D02" w:rsidRDefault="00B3636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 місцевого самоврядування самостійно встановлюють і визначають порядок сплати місцевих податків і зборів відповідно до переліку, встановленого статтею 15 Закону України "Про систему оподаткування" і статтею 1 Декрету Кабінету Міністрів України "Про місцеві податки і збори" та в межах установлених Декретом граничних розмірів ставок, крім збору на проїзд по території прикордонних областей автотранспорту, що прямує за кордон, який встановлюється обласними радами. </w:t>
      </w:r>
    </w:p>
    <w:p w:rsidR="00B84D02" w:rsidRDefault="00B3636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межах своєї компетенції, органи місцевого самоврядування мають право запроваджувати пільгові податкові ставки, повністю відміняти окремі місцеві податки і збори або звільняти від їх сплати певні категорії платників та надавати відстрочки у сплаті місцевих податків і зборів. </w:t>
      </w:r>
    </w:p>
    <w:p w:rsidR="00B84D02" w:rsidRDefault="00B3636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Платники зобов'язані сплачувати місцеві податки і збори, відповідно до вимог рішення органу місцевого самоврядування про впровадження платежу і тільки після набрання чинності цього рішення. </w:t>
      </w:r>
    </w:p>
    <w:p w:rsidR="00B84D02" w:rsidRDefault="00B36367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Місцеві податки і збори перераховуються до бюджетів місцевого самоврядування в порядку, визначеному радами народних депутатів, якими вони встановлюються. Стягнення не внесених в установлений термін місцевих податків і зборів здійснюється згідно з чинним законодавством. </w:t>
      </w:r>
    </w:p>
    <w:p w:rsidR="00B84D02" w:rsidRDefault="00B3636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Надміру сплачені платниками суми місцевих податків і зборів зараховуються в рахунок майбутніх платежів або повертаються їм згідно з чинним законодавством. </w:t>
      </w:r>
    </w:p>
    <w:p w:rsidR="00B84D02" w:rsidRDefault="00B3636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Іноземні юридичні особи та громадяни сплачують місцеві податки і збори на рівних умовах з юридичними особами та громадянами України, якщо інше не передбачено міжнародними договорами та законодавством України. </w:t>
      </w:r>
    </w:p>
    <w:p w:rsidR="00B84D02" w:rsidRDefault="00B3636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Відповідальність за правильність обчислення, своєчасність сплати місцевих податків і зборів до бюджету місцевого самоврядування покладається на платників відповідно до чинного законодавства. </w:t>
      </w:r>
    </w:p>
    <w:p w:rsidR="00B84D02" w:rsidRDefault="00B3636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сплатою місцевих податків і зборів здійснюється державними податковими інспекціями. </w:t>
      </w:r>
    </w:p>
    <w:p w:rsidR="00B84D02" w:rsidRDefault="00B84D02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B84D02" w:rsidRDefault="00B84D02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B84D02" w:rsidRDefault="00B36367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ВИДИ МІСЦЕВИХ ПОДАТКІВ ТА ЗБОРІВ</w:t>
      </w:r>
    </w:p>
    <w:p w:rsidR="00B84D02" w:rsidRDefault="00B36367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Місцеві податки та збори визначені Декретом Кабінету Міністрів України "Про місцеві податки й збори" від 20.05.1993 року № 56-93 із змінами та доповненнями, який також встановлює граничні розміри та порядок обчислення місцевих податків та зборів. </w:t>
      </w:r>
    </w:p>
    <w:p w:rsidR="00B84D02" w:rsidRDefault="00B36367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 місцевих податків і зборів належать: </w:t>
      </w:r>
    </w:p>
    <w:p w:rsidR="00B84D02" w:rsidRDefault="00B36367">
      <w:pPr>
        <w:pStyle w:val="Default"/>
        <w:numPr>
          <w:ilvl w:val="0"/>
          <w:numId w:val="5"/>
        </w:num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Збір за паркування автомобілів; </w:t>
      </w:r>
    </w:p>
    <w:p w:rsidR="00B84D02" w:rsidRDefault="00B36367">
      <w:pPr>
        <w:pStyle w:val="Default"/>
        <w:numPr>
          <w:ilvl w:val="0"/>
          <w:numId w:val="5"/>
        </w:num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Ринковий збір; </w:t>
      </w:r>
    </w:p>
    <w:p w:rsidR="00B84D02" w:rsidRDefault="00B36367">
      <w:pPr>
        <w:pStyle w:val="Default"/>
        <w:numPr>
          <w:ilvl w:val="0"/>
          <w:numId w:val="5"/>
        </w:num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Збір за видачу ордера на квартиру; </w:t>
      </w:r>
    </w:p>
    <w:p w:rsidR="00B84D02" w:rsidRDefault="00B36367">
      <w:pPr>
        <w:pStyle w:val="Default"/>
        <w:numPr>
          <w:ilvl w:val="0"/>
          <w:numId w:val="5"/>
        </w:num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Збір з власників собак; </w:t>
      </w:r>
    </w:p>
    <w:p w:rsidR="00B84D02" w:rsidRDefault="00B36367">
      <w:pPr>
        <w:pStyle w:val="Default"/>
        <w:numPr>
          <w:ilvl w:val="0"/>
          <w:numId w:val="5"/>
        </w:num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Курортний збір; </w:t>
      </w:r>
    </w:p>
    <w:p w:rsidR="00B84D02" w:rsidRDefault="00B36367">
      <w:pPr>
        <w:pStyle w:val="Default"/>
        <w:numPr>
          <w:ilvl w:val="0"/>
          <w:numId w:val="5"/>
        </w:num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Збір за участь у бігах на іподромі; </w:t>
      </w:r>
    </w:p>
    <w:p w:rsidR="00B84D02" w:rsidRDefault="00B36367">
      <w:pPr>
        <w:pStyle w:val="Default"/>
        <w:numPr>
          <w:ilvl w:val="0"/>
          <w:numId w:val="5"/>
        </w:num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Збір за виграш на бігах; </w:t>
      </w:r>
    </w:p>
    <w:p w:rsidR="00B84D02" w:rsidRDefault="00B36367">
      <w:pPr>
        <w:pStyle w:val="Default"/>
        <w:numPr>
          <w:ilvl w:val="0"/>
          <w:numId w:val="5"/>
        </w:num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 Збір з осіб, які беруть участь у грі на тоталізаторі на іподромі; </w:t>
      </w:r>
    </w:p>
    <w:p w:rsidR="00B84D02" w:rsidRDefault="00B36367">
      <w:pPr>
        <w:pStyle w:val="Default"/>
        <w:numPr>
          <w:ilvl w:val="0"/>
          <w:numId w:val="5"/>
        </w:num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Податок з реклами; </w:t>
      </w:r>
    </w:p>
    <w:p w:rsidR="00B84D02" w:rsidRDefault="00B36367">
      <w:pPr>
        <w:pStyle w:val="Default"/>
        <w:numPr>
          <w:ilvl w:val="0"/>
          <w:numId w:val="5"/>
        </w:num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10. Збір за право використання місцевої символіки; </w:t>
      </w:r>
    </w:p>
    <w:p w:rsidR="00B84D02" w:rsidRDefault="00B36367">
      <w:pPr>
        <w:pStyle w:val="Default"/>
        <w:numPr>
          <w:ilvl w:val="0"/>
          <w:numId w:val="5"/>
        </w:num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11. Збір за право проведення кіно- і телезйомок; </w:t>
      </w:r>
    </w:p>
    <w:p w:rsidR="00B84D02" w:rsidRDefault="00B36367">
      <w:pPr>
        <w:pStyle w:val="Default"/>
        <w:numPr>
          <w:ilvl w:val="0"/>
          <w:numId w:val="5"/>
        </w:num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12. Збір за проведення місцевих аукціонів, конкурсного розпродажу і лотерей; </w:t>
      </w:r>
    </w:p>
    <w:p w:rsidR="00B84D02" w:rsidRDefault="00B36367">
      <w:pPr>
        <w:pStyle w:val="Default"/>
        <w:numPr>
          <w:ilvl w:val="0"/>
          <w:numId w:val="5"/>
        </w:num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13. Комунальний податок; </w:t>
      </w:r>
    </w:p>
    <w:p w:rsidR="00B84D02" w:rsidRDefault="00B36367">
      <w:pPr>
        <w:pStyle w:val="Default"/>
        <w:numPr>
          <w:ilvl w:val="0"/>
          <w:numId w:val="5"/>
        </w:num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14. Збір за видачу дозволу на розміщення об'єктів торгівлі; </w:t>
      </w:r>
    </w:p>
    <w:p w:rsidR="00B84D02" w:rsidRDefault="00B36367">
      <w:pPr>
        <w:pStyle w:val="Default"/>
        <w:numPr>
          <w:ilvl w:val="0"/>
          <w:numId w:val="5"/>
        </w:num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15. Податок з продажу імпортних товарів. </w:t>
      </w:r>
    </w:p>
    <w:p w:rsidR="00B84D02" w:rsidRDefault="00B84D02">
      <w:pPr>
        <w:pStyle w:val="Default"/>
        <w:spacing w:line="360" w:lineRule="auto"/>
        <w:ind w:firstLine="709"/>
        <w:rPr>
          <w:sz w:val="28"/>
          <w:szCs w:val="28"/>
        </w:rPr>
      </w:pPr>
    </w:p>
    <w:p w:rsidR="00B84D02" w:rsidRDefault="00B84D02">
      <w:pPr>
        <w:pStyle w:val="Default"/>
        <w:spacing w:line="360" w:lineRule="auto"/>
        <w:ind w:firstLine="709"/>
        <w:rPr>
          <w:sz w:val="28"/>
          <w:szCs w:val="28"/>
        </w:rPr>
      </w:pPr>
    </w:p>
    <w:p w:rsidR="00B84D02" w:rsidRDefault="00B84D02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</w:p>
    <w:p w:rsidR="00B84D02" w:rsidRDefault="00B36367">
      <w:pPr>
        <w:pStyle w:val="Default"/>
        <w:numPr>
          <w:ilvl w:val="0"/>
          <w:numId w:val="2"/>
        </w:num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ПОЛОЖЕННЯ ПРО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ПОДАТОК НА РЕКЛАМУ</w:t>
      </w:r>
    </w:p>
    <w:p w:rsidR="00B84D02" w:rsidRDefault="00B84D02">
      <w:pPr>
        <w:pStyle w:val="Default"/>
        <w:numPr>
          <w:ilvl w:val="0"/>
          <w:numId w:val="2"/>
        </w:numPr>
        <w:spacing w:line="360" w:lineRule="auto"/>
        <w:ind w:firstLine="709"/>
        <w:rPr>
          <w:sz w:val="28"/>
          <w:szCs w:val="28"/>
        </w:rPr>
      </w:pPr>
    </w:p>
    <w:p w:rsidR="00B84D02" w:rsidRDefault="00B36367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Загальні положення</w:t>
      </w:r>
    </w:p>
    <w:p w:rsidR="00B84D02" w:rsidRDefault="00B36367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Податок з реклами сплачується з усіх видів оголошень і повідомлень, які передають інформацію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 комерційною метою за допомогою засобів масової інформації, преси, телебачення, афіш,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плакатів, рекламних щитів, інших технічних засобів, майна та одягу, на вулицях, майданах,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будинках, транспорті та в інших місцях. </w:t>
      </w:r>
    </w:p>
    <w:p w:rsidR="00B84D02" w:rsidRDefault="00B36367">
      <w:pPr>
        <w:pStyle w:val="Default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</w:t>
      </w:r>
      <w:r>
        <w:rPr>
          <w:b/>
          <w:sz w:val="28"/>
          <w:szCs w:val="28"/>
        </w:rPr>
        <w:t>Об'єкт податку з реклами</w:t>
      </w:r>
    </w:p>
    <w:p w:rsidR="00B84D02" w:rsidRDefault="00B3636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>артість послуг за встановлення та розміщення реклами.</w:t>
      </w:r>
    </w:p>
    <w:p w:rsidR="00B84D02" w:rsidRDefault="00B36367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</w:t>
      </w:r>
      <w:r>
        <w:rPr>
          <w:b/>
          <w:bCs/>
          <w:sz w:val="28"/>
          <w:szCs w:val="28"/>
        </w:rPr>
        <w:t>. Платники податку</w:t>
      </w:r>
    </w:p>
    <w:p w:rsidR="00B84D02" w:rsidRDefault="00B3636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Платниками податку з реклами є юридичні особи та громадяни.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Юридичні особи - платники податку з реклами суми сплаченого податку відносять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собівартість продукції (робіт, послуг). </w:t>
      </w:r>
    </w:p>
    <w:p w:rsidR="00B84D02" w:rsidRDefault="00B36367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</w:t>
      </w:r>
      <w:r>
        <w:rPr>
          <w:b/>
          <w:bCs/>
          <w:sz w:val="28"/>
          <w:szCs w:val="28"/>
        </w:rPr>
        <w:t>. Порядок нарахування і сплати податку з реклами</w:t>
      </w:r>
    </w:p>
    <w:p w:rsidR="00B84D02" w:rsidRDefault="00B36367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Податок з реклами встановлюється 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розмірі 0,1 відсотка вартості послуг за розміщення одноразової реклами та 0,5 відсотка вартості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послуг за встановлення та розміщення реклами протягом від двох днів до одного місяця. Податок з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реклами сплачується під час оплати послуг за встановлення та розміщення реклами.</w:t>
      </w:r>
      <w:r>
        <w:rPr>
          <w:sz w:val="28"/>
          <w:szCs w:val="28"/>
          <w:lang w:val="uk-UA"/>
        </w:rPr>
        <w:t xml:space="preserve"> Податок з реклами перераховується на рахунок міського бюджету по коду 16010100 класифікації доходів бюджетної класифікації рекламодавцями протягом п'ятнадцяти днів після отримання від замовника коштів за розміщення реклами. </w:t>
      </w:r>
    </w:p>
    <w:p w:rsidR="00B84D02" w:rsidRDefault="00B36367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Відповідальність платників і контроль податкових органів</w:t>
      </w:r>
    </w:p>
    <w:p w:rsidR="00B84D02" w:rsidRDefault="00B3636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Відповідальність за правильність нарахування, повноту і своєчасність перерахування податку 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бюджет несуть рекламодавці. За несвоєчасне та неповне перерахування податку до бюджету вони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несуть відповідальність відповідно до Закону України «Про порядок погашення зобов'язань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платників податків перед бюджетом та державними цільовими фондами».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Контроль за повнотою, правильністю та своєчасним перерахуванням податку до бюджету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здійснює державна податкова інспекція у м</w:t>
      </w:r>
      <w:r>
        <w:rPr>
          <w:sz w:val="28"/>
          <w:szCs w:val="28"/>
          <w:lang w:val="uk-UA"/>
        </w:rPr>
        <w:t>істах</w:t>
      </w:r>
      <w:r>
        <w:rPr>
          <w:sz w:val="28"/>
          <w:szCs w:val="28"/>
        </w:rPr>
        <w:t xml:space="preserve"> згідно з чинним законодавством.</w:t>
      </w:r>
    </w:p>
    <w:p w:rsidR="00B84D02" w:rsidRDefault="00B84D02">
      <w:pPr>
        <w:pStyle w:val="Default"/>
        <w:spacing w:line="360" w:lineRule="auto"/>
        <w:ind w:firstLine="709"/>
        <w:rPr>
          <w:sz w:val="28"/>
          <w:szCs w:val="28"/>
        </w:rPr>
      </w:pPr>
    </w:p>
    <w:p w:rsidR="00B84D02" w:rsidRDefault="00B84D02">
      <w:pPr>
        <w:pStyle w:val="Default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B84D02" w:rsidRDefault="00B84D02">
      <w:pPr>
        <w:pStyle w:val="Default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B84D02" w:rsidRDefault="00B84D02">
      <w:pPr>
        <w:pStyle w:val="Default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B84D02" w:rsidRDefault="00B36367">
      <w:pPr>
        <w:pStyle w:val="Default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ОСОБЛИВОСТІ СТЯГНЕННЯ У ДЕЯКИХ МІСТАХ УКРАЇНИ</w:t>
      </w:r>
    </w:p>
    <w:p w:rsidR="00B84D02" w:rsidRDefault="00B84D02">
      <w:pPr>
        <w:pStyle w:val="Default"/>
        <w:spacing w:line="360" w:lineRule="auto"/>
        <w:ind w:firstLine="709"/>
        <w:rPr>
          <w:sz w:val="28"/>
          <w:szCs w:val="28"/>
          <w:lang w:val="uk-UA"/>
        </w:rPr>
      </w:pPr>
    </w:p>
    <w:p w:rsidR="00B84D02" w:rsidRDefault="00B36367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Відповідно до рішення Київської міської ради "Про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введення податку з реклами в м. Києві" від 17 травня 1994 р. № 9Б та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Положення (додаток до рішення № 9Б) об'єктом обкладання податком з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реклами є вартість робіт та послуг з виготовлення та розповсюдження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реклами. Зазначений податок отримується рекламними агентствами при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розрахунках з рекламодавцями та при оформленні розрахункових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документів включається до них окремим рядком.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У Положенні про рекламу визначено, що рекламні агентства - це юридичні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та фізичні особи, які виготовляють рекламу за заявками рекламодавців або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розміщують зазначену рекламу на рекламних носіях.</w:t>
      </w:r>
    </w:p>
    <w:p w:rsidR="00B84D02" w:rsidRDefault="00B363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Положенні про податок з реклами, затвердженому рішенням Київської міської ради народних депутатів від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17.05.94 № 9б "Про введення податку з реклами у м. Києві":</w:t>
      </w:r>
    </w:p>
    <w:p w:rsidR="00B84D02" w:rsidRDefault="00B363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пункт 6.9 розділу VI викласти в такій редакції:</w:t>
      </w:r>
    </w:p>
    <w:p w:rsidR="00B84D02" w:rsidRDefault="00B363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"6.9. Перерахування коштів податку з реклами проводиться протягом десяти календарних днів, наступних за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останнім днем граничного строку для подання розрахунку сплати податку";</w:t>
      </w:r>
    </w:p>
    <w:p w:rsidR="00B84D02" w:rsidRDefault="00B36367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б) пункт 6.11 викласти в такій редакції:</w:t>
      </w:r>
    </w:p>
    <w:p w:rsidR="00B84D02" w:rsidRDefault="00B36367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"6.11. Розрахунок сплати податку з реклами подається Державній податковій інспекції з відповідного району за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місцем реєстрації платника протягом 20 календарних днів, наступних за останнім календарним днем звітного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місяця".</w:t>
      </w:r>
    </w:p>
    <w:p w:rsidR="00B84D02" w:rsidRDefault="00B363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Рекламодавці (підприємства або фізичні особи) сплачують податок з реклами під час оплати послуг з рекламування продукції, які надають сторонні організації. </w:t>
      </w:r>
      <w:r>
        <w:rPr>
          <w:color w:val="000000"/>
          <w:sz w:val="28"/>
          <w:szCs w:val="28"/>
        </w:rPr>
        <w:t>Якщо такі послуги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отримуються (приймаються) безоплатно, то об’єкта оподаткування немає. Ключовою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думкою листа є не лише те, що наявність реклами у розумінні Закону про рекламу —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ще не тягне зобов’язання зі сплати податку. ДПА не роз’яснила, що слід розуміти під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«встановленням та розміщенням» реклами, але чітко вказала, які операції до них не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належать:</w:t>
      </w:r>
    </w:p>
    <w:p w:rsidR="00B84D02" w:rsidRDefault="00B363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виготовлення реклами (рекламної продукції);</w:t>
      </w:r>
    </w:p>
    <w:p w:rsidR="00B84D02" w:rsidRDefault="00B36367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— самостійне розповсюдження реклами.</w:t>
      </w:r>
    </w:p>
    <w:p w:rsidR="00B84D02" w:rsidRDefault="00B363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ДПА у м. Києві вважає, що чинне законодавство не вимагає сплати податку при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самостійному виготовленні та розповсюдженні реклами, а також із вартості її</w:t>
      </w:r>
      <w:r>
        <w:rPr>
          <w:color w:val="000000"/>
          <w:sz w:val="28"/>
          <w:szCs w:val="28"/>
          <w:lang w:val="uk-UA"/>
        </w:rPr>
        <w:t xml:space="preserve"> в</w:t>
      </w:r>
      <w:r>
        <w:rPr>
          <w:color w:val="000000"/>
          <w:sz w:val="28"/>
          <w:szCs w:val="28"/>
        </w:rPr>
        <w:t>иготовлення (яка сплачується підрядчикам).</w:t>
      </w:r>
    </w:p>
    <w:p w:rsidR="00B84D02" w:rsidRDefault="00B84D0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B84D02" w:rsidRDefault="00B363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Рішенням Одеської міської ради від 04.02.04 за №2231-ХХІ</w:t>
      </w:r>
      <w:r>
        <w:rPr>
          <w:color w:val="000000"/>
          <w:sz w:val="28"/>
          <w:szCs w:val="28"/>
        </w:rPr>
        <w:t>V</w:t>
      </w:r>
      <w:r>
        <w:rPr>
          <w:color w:val="000000"/>
          <w:sz w:val="28"/>
          <w:szCs w:val="28"/>
          <w:lang w:val="uk-UA"/>
        </w:rPr>
        <w:t xml:space="preserve"> була змінена редакція "Положення про податок з реклами", яка була оприлюднена в газеті "Думська площа" від 05.03.04р. № 9, і з цієї дати набрала чинності. </w:t>
      </w:r>
      <w:r>
        <w:rPr>
          <w:color w:val="000000"/>
          <w:sz w:val="28"/>
          <w:szCs w:val="28"/>
        </w:rPr>
        <w:t>Відповідно до цього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Положення Бюро естетики міського середовища та зовнішньої реклами не включено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до переліку органів - рекламорозповсюджувачів, на які покладено обов'язок стягувати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податок на рекламу з рекламодавців (одночасно з проведенням розрахунків за надані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послуги) та надавати розрахунки з податку до відповідних податкових органів.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Звертаємо увагу, що відповідно до пункту 3 Типових правил розміщення зовнішньої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реклами , затверджених Постановою КМУ від 29.12.2003 №2067 та пункту 3 "Правил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розміщення зовнішньої реклами в м. Одесі", затверджених рішенням Одеського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міськвиконкому від 18.06.2004р. №326 зовнішня реклама розповсюджується на підставі Дозволів, які дають право на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розміщення зовнішньої реклами на певний строк. Видачу Дозволів здійснює Бюро естетики міського середовища та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зовнішньої реклами.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Таким чином, кожне підприємство, в разі самостійного розміщення зовнішньої реклами на рекламоносіях, повинне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самостійно сплачувати податок на рекламу до бюджету міста, а також надавати розрахунок податку до податкових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органів.</w:t>
      </w:r>
    </w:p>
    <w:p w:rsidR="00B84D02" w:rsidRDefault="00B84D0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B84D02" w:rsidRDefault="00B36367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Рішенням Кіровоградської міської Ради від 23 грудня 2003 року № 608 „Про затвердження Положення про розміри, порядок сплати та перерахування місцевих податків і зборів” втановлено, що перерахування сум податку проводиться протягом 30 днів кожного місяця.</w:t>
      </w:r>
    </w:p>
    <w:p w:rsidR="00B84D02" w:rsidRDefault="00B84D0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B84D02" w:rsidRDefault="00B363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Згідно зі ст.11 Декрету Кабінету Міністрів України "Про місцеві податки і збори" від 20 травня 1993 року виконком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міської Ради народних депутатів вирішив:</w:t>
      </w:r>
    </w:p>
    <w:p w:rsidR="00B84D02" w:rsidRDefault="00B363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Ввести у м. Кривому Розі податок з реклами.</w:t>
      </w:r>
    </w:p>
    <w:p w:rsidR="00B84D02" w:rsidRDefault="00B363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Об'єктом податку з реклами є вартість послуг за встановлення та розміщення реклами.</w:t>
      </w:r>
    </w:p>
    <w:p w:rsidR="00B84D02" w:rsidRDefault="00B363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Визначити, що податок з реклами сплачується юридичними особами та громадянами з усіх видів оголошень і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повідомлень, які передають інформацію з комерційною метою за допомогою засобів масової інформації, преси,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телебачення, афіш, плакатів, рекламних щитів, інших технічних засобів, майна та одягу; на вулицях, магістралях,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майданах, будинках, транспорті та в інших місцях.</w:t>
      </w:r>
    </w:p>
    <w:p w:rsidR="00B84D02" w:rsidRDefault="00B363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Організація роботи по стягненню податку з реклами покласти на управління житлово-комунального господарства,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відділ транспорту і зв'язку виконкому міськради, відомчих власників будівель, споруд, транспорту,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телерадіокомпаній, редакції газет та інші періодичні видання міста, суб'єктів підприємницької діяльності, які надають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послуги по встановленню реклами.</w:t>
      </w:r>
    </w:p>
    <w:p w:rsidR="00B84D02" w:rsidRDefault="00B363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Встановити ставку податку з реклами в розмірі 0,1 відсоток вартості послуг за розміщення реклами та 0,5 відсотка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за розміщення реклами на тривалий час. В разі безкоштовного надання послуг сплачується 0,1 відсотка їх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собівартості.</w:t>
      </w:r>
    </w:p>
    <w:p w:rsidR="00B84D02" w:rsidRDefault="00B36367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6. Податок з реклами сплачується під час сплати послуг за встановлення та розміщення реклами і перераховується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юридичними особами, які надають ці послуги, до місцевих бюджетів в день стягнення з платника.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B84D02" w:rsidRDefault="00B363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За прострочку сплати податку нараховується пеня в розмірі 0,3 відсотки несплаченої суми за кожний день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прострочки.</w:t>
      </w:r>
    </w:p>
    <w:p w:rsidR="00B84D02" w:rsidRDefault="00B36367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8. Контроль за повнотою та своєчасністю сплати податку з реклами покласти на державні податкові інспекції.</w:t>
      </w:r>
    </w:p>
    <w:p w:rsidR="00B84D02" w:rsidRDefault="00B363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Рішення набирає чинності з 1 серпня 1993 року з послідуючим затвердженням на черговій сесії міської Ради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народних депутатів.</w:t>
      </w:r>
    </w:p>
    <w:p w:rsidR="00B84D02" w:rsidRDefault="00B363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Контроль за виконанням рішення покласти на заступника голови виконкому Колотіліна В.Н.</w:t>
      </w:r>
    </w:p>
    <w:p w:rsidR="00B84D02" w:rsidRDefault="00B363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даними міжрайонних державних податкових інспекцій міста </w:t>
      </w:r>
      <w:r>
        <w:rPr>
          <w:color w:val="000000"/>
          <w:sz w:val="28"/>
          <w:szCs w:val="28"/>
          <w:lang w:val="uk-UA"/>
        </w:rPr>
        <w:t>було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обраховано</w:t>
      </w:r>
      <w:r>
        <w:rPr>
          <w:color w:val="000000"/>
          <w:sz w:val="28"/>
          <w:szCs w:val="28"/>
        </w:rPr>
        <w:t xml:space="preserve"> обсяги надходжень до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міського бюджету від сплати рекламорозповсюджувачами податку з реклами за 2002,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2003 та 10 місяців 2004 року:</w:t>
      </w:r>
    </w:p>
    <w:tbl>
      <w:tblPr>
        <w:tblpPr w:leftFromText="180" w:rightFromText="180" w:vertAnchor="text" w:horzAnchor="margin" w:tblpXSpec="center" w:tblpY="116"/>
        <w:tblW w:w="100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368"/>
        <w:gridCol w:w="1440"/>
        <w:gridCol w:w="1440"/>
        <w:gridCol w:w="1440"/>
        <w:gridCol w:w="1440"/>
        <w:gridCol w:w="1440"/>
        <w:gridCol w:w="1440"/>
      </w:tblGrid>
      <w:tr w:rsidR="00B84D02">
        <w:trPr>
          <w:trHeight w:val="358"/>
        </w:trPr>
        <w:tc>
          <w:tcPr>
            <w:tcW w:w="280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B84D02" w:rsidRDefault="00B36367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288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B84D02" w:rsidRDefault="00B36367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4320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8D8D8D"/>
            </w:tcBorders>
            <w:vAlign w:val="center"/>
          </w:tcPr>
          <w:p w:rsidR="00B84D02" w:rsidRDefault="00B36367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</w:tr>
      <w:tr w:rsidR="00B84D02">
        <w:trPr>
          <w:trHeight w:val="338"/>
        </w:trPr>
        <w:tc>
          <w:tcPr>
            <w:tcW w:w="136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B84D02" w:rsidRDefault="00B36367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4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B84D02" w:rsidRDefault="00B36367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14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B84D02" w:rsidRDefault="00B36367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4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B84D02" w:rsidRDefault="00B36367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1440" w:type="dxa"/>
            <w:tcBorders>
              <w:top w:val="double" w:sz="2" w:space="0" w:color="C0C0C0"/>
              <w:left w:val="double" w:sz="2" w:space="0" w:color="C0C0C0"/>
              <w:right w:val="double" w:sz="2" w:space="0" w:color="C0C0C0"/>
            </w:tcBorders>
            <w:vAlign w:val="center"/>
          </w:tcPr>
          <w:p w:rsidR="00B84D02" w:rsidRDefault="00B36367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440" w:type="dxa"/>
            <w:tcBorders>
              <w:top w:val="double" w:sz="2" w:space="0" w:color="C0C0C0"/>
              <w:left w:val="double" w:sz="2" w:space="0" w:color="C0C0C0"/>
              <w:right w:val="double" w:sz="2" w:space="0" w:color="C0C0C0"/>
            </w:tcBorders>
            <w:vAlign w:val="center"/>
          </w:tcPr>
          <w:p w:rsidR="00B84D02" w:rsidRDefault="00B36367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10 міс.</w:t>
            </w:r>
          </w:p>
        </w:tc>
        <w:tc>
          <w:tcPr>
            <w:tcW w:w="14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8D8D8D"/>
            </w:tcBorders>
            <w:vAlign w:val="center"/>
          </w:tcPr>
          <w:p w:rsidR="00B84D02" w:rsidRDefault="00B36367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</w:tr>
      <w:tr w:rsidR="00B84D02">
        <w:trPr>
          <w:trHeight w:val="805"/>
        </w:trPr>
        <w:tc>
          <w:tcPr>
            <w:tcW w:w="1368" w:type="dxa"/>
            <w:tcBorders>
              <w:top w:val="double" w:sz="2" w:space="0" w:color="C0C0C0"/>
              <w:left w:val="double" w:sz="2" w:space="0" w:color="C0C0C0"/>
              <w:bottom w:val="double" w:sz="2" w:space="0" w:color="8D8D8D"/>
              <w:right w:val="double" w:sz="2" w:space="0" w:color="C0C0C0"/>
            </w:tcBorders>
          </w:tcPr>
          <w:p w:rsidR="00B84D02" w:rsidRDefault="00B36367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 тис.грн.</w:t>
            </w:r>
          </w:p>
        </w:tc>
        <w:tc>
          <w:tcPr>
            <w:tcW w:w="1440" w:type="dxa"/>
            <w:tcBorders>
              <w:top w:val="double" w:sz="2" w:space="0" w:color="C0C0C0"/>
              <w:left w:val="double" w:sz="2" w:space="0" w:color="C0C0C0"/>
              <w:bottom w:val="double" w:sz="2" w:space="0" w:color="8D8D8D"/>
              <w:right w:val="double" w:sz="2" w:space="0" w:color="C0C0C0"/>
            </w:tcBorders>
          </w:tcPr>
          <w:p w:rsidR="00B84D02" w:rsidRDefault="00B36367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29,3 тис.грн.</w:t>
            </w:r>
          </w:p>
        </w:tc>
        <w:tc>
          <w:tcPr>
            <w:tcW w:w="1440" w:type="dxa"/>
            <w:tcBorders>
              <w:top w:val="double" w:sz="2" w:space="0" w:color="C0C0C0"/>
              <w:left w:val="double" w:sz="2" w:space="0" w:color="C0C0C0"/>
              <w:bottom w:val="double" w:sz="2" w:space="0" w:color="8D8D8D"/>
              <w:right w:val="double" w:sz="2" w:space="0" w:color="C0C0C0"/>
            </w:tcBorders>
          </w:tcPr>
          <w:p w:rsidR="00B84D02" w:rsidRDefault="00B36367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 тис.грн.</w:t>
            </w:r>
          </w:p>
        </w:tc>
        <w:tc>
          <w:tcPr>
            <w:tcW w:w="1440" w:type="dxa"/>
            <w:tcBorders>
              <w:top w:val="double" w:sz="2" w:space="0" w:color="C0C0C0"/>
              <w:left w:val="double" w:sz="2" w:space="0" w:color="C0C0C0"/>
              <w:bottom w:val="double" w:sz="2" w:space="0" w:color="8D8D8D"/>
              <w:right w:val="double" w:sz="2" w:space="0" w:color="C0C0C0"/>
            </w:tcBorders>
          </w:tcPr>
          <w:p w:rsidR="00B84D02" w:rsidRDefault="00B36367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 тис.грн.</w:t>
            </w:r>
          </w:p>
        </w:tc>
        <w:tc>
          <w:tcPr>
            <w:tcW w:w="1440" w:type="dxa"/>
            <w:tcBorders>
              <w:left w:val="double" w:sz="2" w:space="0" w:color="C0C0C0"/>
              <w:bottom w:val="double" w:sz="2" w:space="0" w:color="8D8D8D"/>
              <w:right w:val="double" w:sz="2" w:space="0" w:color="C0C0C0"/>
            </w:tcBorders>
          </w:tcPr>
          <w:p w:rsidR="00B84D02" w:rsidRDefault="00B36367">
            <w:pPr>
              <w:spacing w:line="36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>34 тис.грн.</w:t>
            </w:r>
          </w:p>
        </w:tc>
        <w:tc>
          <w:tcPr>
            <w:tcW w:w="1440" w:type="dxa"/>
            <w:tcBorders>
              <w:left w:val="double" w:sz="2" w:space="0" w:color="C0C0C0"/>
              <w:bottom w:val="double" w:sz="2" w:space="0" w:color="8D8D8D"/>
              <w:right w:val="double" w:sz="2" w:space="0" w:color="C0C0C0"/>
            </w:tcBorders>
          </w:tcPr>
          <w:p w:rsidR="00B84D02" w:rsidRDefault="00B36367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28,4 тис.грн.</w:t>
            </w:r>
          </w:p>
        </w:tc>
        <w:tc>
          <w:tcPr>
            <w:tcW w:w="1440" w:type="dxa"/>
            <w:tcBorders>
              <w:top w:val="double" w:sz="2" w:space="0" w:color="C0C0C0"/>
              <w:left w:val="double" w:sz="2" w:space="0" w:color="C0C0C0"/>
              <w:bottom w:val="double" w:sz="2" w:space="0" w:color="8D8D8D"/>
              <w:right w:val="double" w:sz="2" w:space="0" w:color="8D8D8D"/>
            </w:tcBorders>
          </w:tcPr>
          <w:p w:rsidR="00B84D02" w:rsidRDefault="00B36367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48,9 тис.грн.</w:t>
            </w:r>
          </w:p>
        </w:tc>
      </w:tr>
    </w:tbl>
    <w:p w:rsidR="00B84D02" w:rsidRDefault="00B84D02">
      <w:pPr>
        <w:pStyle w:val="Default"/>
        <w:spacing w:line="360" w:lineRule="auto"/>
        <w:ind w:firstLine="709"/>
      </w:pPr>
    </w:p>
    <w:p w:rsidR="00B84D02" w:rsidRDefault="00B84D0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B84D02" w:rsidRDefault="00B84D0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B84D02" w:rsidRDefault="00B84D0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B84D02" w:rsidRDefault="00B84D0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B84D02" w:rsidRDefault="00B84D0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B84D02" w:rsidRDefault="00B84D0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B84D02" w:rsidRDefault="00B36367">
      <w:pPr>
        <w:pStyle w:val="Default"/>
        <w:spacing w:line="360" w:lineRule="auto"/>
        <w:ind w:firstLine="709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ВИКОРИСТАНА ЛІТЕРАТУРА</w:t>
      </w:r>
    </w:p>
    <w:p w:rsidR="00B84D02" w:rsidRDefault="00B84D02">
      <w:pPr>
        <w:pStyle w:val="Default"/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</w:p>
    <w:p w:rsidR="00B84D02" w:rsidRDefault="00B36367">
      <w:pPr>
        <w:pStyle w:val="Default"/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Закон України "Про систему оподаткування" від 25.06.1991 року № 1251-ХП із змінами та доповненнями. </w:t>
      </w:r>
    </w:p>
    <w:p w:rsidR="00B84D02" w:rsidRDefault="00B36367">
      <w:pPr>
        <w:pStyle w:val="Default"/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Закон України від 21.12.00 р. № 2181 - III "Про порядок погашення зобов'язань платників податків перед бюджетами та державними цільовими фондами" </w:t>
      </w:r>
    </w:p>
    <w:p w:rsidR="00B84D02" w:rsidRDefault="00B36367">
      <w:pPr>
        <w:pStyle w:val="Default"/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Декрет Кабінету Міністрів України "Про місцеві податки й збори" від 20.05.1993 року № 56-93 із змінами та доповненнями. </w:t>
      </w:r>
    </w:p>
    <w:p w:rsidR="00B84D02" w:rsidRDefault="00B36367">
      <w:pPr>
        <w:pStyle w:val="Default"/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 „Фінансове право” О.П. Орлюк, </w:t>
      </w:r>
      <w:hyperlink r:id="rId5" w:history="1">
        <w:r>
          <w:rPr>
            <w:rStyle w:val="a3"/>
            <w:sz w:val="28"/>
            <w:szCs w:val="28"/>
            <w:lang w:val="uk-UA"/>
          </w:rPr>
          <w:t>http://ebk.net.ua/Book/FPravo/index.htm</w:t>
        </w:r>
      </w:hyperlink>
    </w:p>
    <w:p w:rsidR="00B84D02" w:rsidRDefault="00B36367">
      <w:pPr>
        <w:pStyle w:val="Default"/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5. </w:t>
      </w:r>
      <w:r>
        <w:rPr>
          <w:sz w:val="28"/>
          <w:szCs w:val="28"/>
        </w:rPr>
        <w:t>"Правил</w:t>
      </w:r>
      <w:r>
        <w:rPr>
          <w:sz w:val="28"/>
          <w:szCs w:val="28"/>
          <w:lang w:val="uk-UA"/>
        </w:rPr>
        <w:t xml:space="preserve">а </w:t>
      </w:r>
      <w:r>
        <w:rPr>
          <w:sz w:val="28"/>
          <w:szCs w:val="28"/>
        </w:rPr>
        <w:t>розміщення зовнішньої реклами в м. Одесі", затверджен</w:t>
      </w:r>
      <w:r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</w:rPr>
        <w:t>рішенням Одеського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міськвиконкому від 18.06.2004р. №326</w:t>
      </w:r>
    </w:p>
    <w:p w:rsidR="00B84D02" w:rsidRDefault="00B36367">
      <w:pPr>
        <w:pStyle w:val="Default"/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6. </w:t>
      </w:r>
      <w:r>
        <w:rPr>
          <w:bCs/>
          <w:sz w:val="28"/>
          <w:szCs w:val="28"/>
          <w:lang w:val="uk-UA"/>
        </w:rPr>
        <w:t>Р</w:t>
      </w:r>
      <w:r>
        <w:rPr>
          <w:bCs/>
          <w:sz w:val="28"/>
          <w:szCs w:val="28"/>
        </w:rPr>
        <w:t>ішення виконавчого комітету Криворізької</w:t>
      </w: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</w:rPr>
        <w:t>міської Ради народних депутатів від 14.07.93 № 316(1)</w:t>
      </w: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</w:rPr>
        <w:t>"Про встановлення податку з реклами", затвердженого сесією міської ради</w:t>
      </w: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</w:rPr>
        <w:t>народних депутатів від 08.02.94 № 32 "Про місцеві податки і збори"</w:t>
      </w:r>
    </w:p>
    <w:p w:rsidR="00B84D02" w:rsidRDefault="00B36367">
      <w:pPr>
        <w:pStyle w:val="Default"/>
        <w:numPr>
          <w:ilvl w:val="0"/>
          <w:numId w:val="2"/>
        </w:num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7. 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  <w:lang w:val="uk-UA"/>
        </w:rPr>
        <w:t xml:space="preserve">ішення </w:t>
      </w:r>
      <w:r>
        <w:rPr>
          <w:bCs/>
          <w:sz w:val="28"/>
          <w:szCs w:val="28"/>
        </w:rPr>
        <w:t>К</w:t>
      </w:r>
      <w:r>
        <w:rPr>
          <w:bCs/>
          <w:sz w:val="28"/>
          <w:szCs w:val="28"/>
          <w:lang w:val="uk-UA"/>
        </w:rPr>
        <w:t xml:space="preserve">іровоградської міської 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  <w:lang w:val="uk-UA"/>
        </w:rPr>
        <w:t xml:space="preserve">ади </w:t>
      </w:r>
      <w:r>
        <w:rPr>
          <w:bCs/>
          <w:sz w:val="28"/>
          <w:szCs w:val="28"/>
        </w:rPr>
        <w:t>від 23 грудня 2003 року № 608</w:t>
      </w:r>
      <w:r>
        <w:rPr>
          <w:bCs/>
          <w:sz w:val="28"/>
          <w:szCs w:val="28"/>
          <w:lang w:val="uk-UA"/>
        </w:rPr>
        <w:t xml:space="preserve"> „</w:t>
      </w:r>
      <w:r>
        <w:rPr>
          <w:bCs/>
          <w:sz w:val="28"/>
          <w:szCs w:val="28"/>
        </w:rPr>
        <w:t>Про затвердження Положення</w:t>
      </w: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</w:rPr>
        <w:t>про розміри, порядок сплати</w:t>
      </w: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</w:rPr>
        <w:t>та перерахування місцевих</w:t>
      </w: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</w:rPr>
        <w:t>податків і зборів</w:t>
      </w:r>
      <w:r>
        <w:rPr>
          <w:bCs/>
          <w:sz w:val="28"/>
          <w:szCs w:val="28"/>
          <w:lang w:val="uk-UA"/>
        </w:rPr>
        <w:t>”</w:t>
      </w:r>
    </w:p>
    <w:p w:rsidR="00B84D02" w:rsidRDefault="00B36367">
      <w:pPr>
        <w:pStyle w:val="Default"/>
        <w:numPr>
          <w:ilvl w:val="0"/>
          <w:numId w:val="2"/>
        </w:num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8. </w:t>
      </w:r>
      <w:r>
        <w:rPr>
          <w:bCs/>
          <w:sz w:val="28"/>
          <w:szCs w:val="28"/>
        </w:rPr>
        <w:t>Лист ДПА у м. Києві від 25.07.2005 р. №693/10/15-508 «Про розгляд листа»</w:t>
      </w:r>
    </w:p>
    <w:p w:rsidR="00B84D02" w:rsidRDefault="00B84D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B84D02">
      <w:pgSz w:w="11907" w:h="16840" w:code="9"/>
      <w:pgMar w:top="851" w:right="851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BC2C6E9"/>
    <w:multiLevelType w:val="hybridMultilevel"/>
    <w:tmpl w:val="0110600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9088CE2"/>
    <w:multiLevelType w:val="hybridMultilevel"/>
    <w:tmpl w:val="11D830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8CE5376"/>
    <w:multiLevelType w:val="hybridMultilevel"/>
    <w:tmpl w:val="A2B8489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8D064AC"/>
    <w:multiLevelType w:val="hybridMultilevel"/>
    <w:tmpl w:val="B458E85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6F0CFAEF"/>
    <w:multiLevelType w:val="hybridMultilevel"/>
    <w:tmpl w:val="86EFEC7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367"/>
    <w:rsid w:val="0026560B"/>
    <w:rsid w:val="00B36367"/>
    <w:rsid w:val="00B8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7D02E-8EE5-4744-B6DF-6803A022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3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bk.net.ua/Book/FPravo/inde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13609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http://ebk.net.ua/Book/FPravo/index.htm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>www.ukrreferat.com</dc:description>
  <cp:lastModifiedBy>admin</cp:lastModifiedBy>
  <cp:revision>2</cp:revision>
  <dcterms:created xsi:type="dcterms:W3CDTF">2014-04-15T01:19:00Z</dcterms:created>
  <dcterms:modified xsi:type="dcterms:W3CDTF">2014-04-15T01:19:00Z</dcterms:modified>
</cp:coreProperties>
</file>