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D4" w:rsidRPr="005334D4" w:rsidRDefault="005334D4" w:rsidP="005334D4">
      <w:pPr>
        <w:pStyle w:val="4"/>
        <w:numPr>
          <w:ilvl w:val="0"/>
          <w:numId w:val="1"/>
        </w:numPr>
        <w:spacing w:before="0"/>
        <w:ind w:left="0" w:firstLine="720"/>
        <w:rPr>
          <w:spacing w:val="0"/>
        </w:rPr>
      </w:pPr>
      <w:r w:rsidRPr="005334D4">
        <w:rPr>
          <w:spacing w:val="0"/>
        </w:rPr>
        <w:t>Значение, цель, задачи и сроки подготовки дела к судебному разбирательству.</w:t>
      </w:r>
    </w:p>
    <w:p w:rsidR="005334D4" w:rsidRPr="005334D4" w:rsidRDefault="005334D4" w:rsidP="005334D4">
      <w:pPr>
        <w:ind w:firstLine="720"/>
      </w:pPr>
    </w:p>
    <w:p w:rsidR="005334D4" w:rsidRPr="005334D4" w:rsidRDefault="005334D4" w:rsidP="005334D4">
      <w:pPr>
        <w:ind w:firstLine="720"/>
      </w:pPr>
      <w:r w:rsidRPr="005334D4">
        <w:t>Подготовка дела к судебному разбирательству - самостоятельная стадия процесса, она имеет самостоятельные задачи и специфический способ законодательного регулирования процессуальных отношений.</w:t>
      </w:r>
    </w:p>
    <w:p w:rsidR="005334D4" w:rsidRPr="005334D4" w:rsidRDefault="005334D4" w:rsidP="005334D4">
      <w:pPr>
        <w:ind w:firstLine="720"/>
      </w:pPr>
      <w:r w:rsidRPr="005334D4">
        <w:t>Специфичность способа регулирования процессуальных отношений проявляется в том, что поведение судьи на данной стадии регулируется нормами Административного процессуального кодекса РФ (АПК) и не ограничивается волеизъявлением лиц, участвующих в деле. Это позволяет судье решать многие процессуальные вопросы, обеспечивая тем самым качественную подготовку.</w:t>
      </w:r>
    </w:p>
    <w:p w:rsidR="005334D4" w:rsidRPr="005334D4" w:rsidRDefault="005334D4" w:rsidP="005334D4">
      <w:pPr>
        <w:ind w:firstLine="720"/>
      </w:pPr>
      <w:r w:rsidRPr="005334D4">
        <w:rPr>
          <w:rStyle w:val="af0"/>
          <w:bCs/>
          <w:i w:val="0"/>
        </w:rPr>
        <w:t xml:space="preserve">Цель этой стадии </w:t>
      </w:r>
      <w:r w:rsidRPr="005334D4">
        <w:t xml:space="preserve">- подготовка условий для успешного и правильного разрешения спора по возможности в первом же заседании. Этот институт закреплен в гл. 14 АПК РФ.  </w:t>
      </w:r>
    </w:p>
    <w:p w:rsidR="005334D4" w:rsidRPr="005334D4" w:rsidRDefault="005334D4" w:rsidP="005334D4">
      <w:pPr>
        <w:ind w:firstLine="720"/>
      </w:pPr>
      <w:r w:rsidRPr="005334D4">
        <w:t>Стадия подготовки дела к судебному разбирательству начинается после принятия искового заявления к производству арбитражного суда. Судья не приступает к подготовке дела, если имеются основания для оставления заявления без движения, либо возвращения его. В этих случаях судья выносит определение об оставлении заявления без движения либо о его возвращении.</w:t>
      </w:r>
    </w:p>
    <w:p w:rsidR="005334D4" w:rsidRPr="005334D4" w:rsidRDefault="005334D4" w:rsidP="005334D4">
      <w:pPr>
        <w:ind w:firstLine="720"/>
      </w:pPr>
      <w:r w:rsidRPr="005334D4">
        <w:t>О подготовке дела к судебному разбирательству судья обязан вынести определение с указанием всех конкретных процессуальных действий, которые необходимо совершить лицам, участвующим в деле, в этой стадии процесса, и сроков их совершения.</w:t>
      </w:r>
    </w:p>
    <w:p w:rsidR="005334D4" w:rsidRPr="005334D4" w:rsidRDefault="005334D4" w:rsidP="005334D4">
      <w:pPr>
        <w:ind w:firstLine="720"/>
      </w:pPr>
      <w:r w:rsidRPr="005334D4">
        <w:t>Такое определение должно быть вынесено и после отмены ранее состоявшегося решения либо определения об оставлении иска без рассмотрения или прекращении производства по делу и направлении дела на новое рассмотрение.</w:t>
      </w:r>
    </w:p>
    <w:p w:rsidR="005334D4" w:rsidRPr="005334D4" w:rsidRDefault="005334D4" w:rsidP="005334D4">
      <w:pPr>
        <w:ind w:firstLine="720"/>
      </w:pPr>
      <w:r w:rsidRPr="005334D4">
        <w:t>Судья вправе производить не только те подготовительные действия, которые указаны в определении, но и любые другие, если в ходе подготовки дела выявится их необходимость.</w:t>
      </w:r>
    </w:p>
    <w:p w:rsidR="005334D4" w:rsidRPr="005334D4" w:rsidRDefault="005334D4" w:rsidP="005334D4">
      <w:pPr>
        <w:ind w:firstLine="720"/>
      </w:pPr>
      <w:r w:rsidRPr="005334D4">
        <w:t>В определении о подготовке дела к судебному разбирательству указывается о назначении по делу предварительного заседания арбитражного суда, его время и место, а также круг лиц, которым должны быть направлены копии данного определения.</w:t>
      </w:r>
    </w:p>
    <w:p w:rsidR="005334D4" w:rsidRPr="005334D4" w:rsidRDefault="005334D4" w:rsidP="005334D4">
      <w:pPr>
        <w:ind w:firstLine="720"/>
      </w:pPr>
      <w:r w:rsidRPr="005334D4">
        <w:t xml:space="preserve">Подготовка дела к судебному разбирательству - одно из основных звеньев арбитражного процесса. Действия судьи в этой стадии закладывают основу для своевременного рассмотрения дела и вынесения законного и обоснованного судебного решения. </w:t>
      </w:r>
    </w:p>
    <w:p w:rsidR="005334D4" w:rsidRPr="005334D4" w:rsidRDefault="005334D4" w:rsidP="005334D4">
      <w:pPr>
        <w:ind w:firstLine="720"/>
      </w:pPr>
      <w:r w:rsidRPr="005334D4">
        <w:t>Подготовка дела к судебному разбирательству проводится судьей единолично по каждому делу, находящемуся в производстве арбитражного суда первой инстанции, в целях обеспечения его правильного и своевременного рассмотрения.</w:t>
      </w:r>
    </w:p>
    <w:p w:rsidR="005334D4" w:rsidRPr="005334D4" w:rsidRDefault="005334D4" w:rsidP="005334D4">
      <w:pPr>
        <w:ind w:firstLine="720"/>
      </w:pPr>
      <w:r w:rsidRPr="005334D4">
        <w:rPr>
          <w:bCs/>
        </w:rPr>
        <w:t>Задачами</w:t>
      </w:r>
      <w:r w:rsidRPr="005334D4">
        <w:t xml:space="preserve">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5334D4" w:rsidRPr="005334D4" w:rsidRDefault="005334D4" w:rsidP="005334D4">
      <w:pPr>
        <w:ind w:firstLine="720"/>
      </w:pPr>
      <w:r w:rsidRPr="005334D4">
        <w:t>Решение этих конкретных задач имеет одну целевую направленность - обеспечить правильное и своевременное рассмотрение и разрешение спора в одном, первом же судебном заседании.</w:t>
      </w:r>
    </w:p>
    <w:p w:rsidR="005334D4" w:rsidRPr="005334D4" w:rsidRDefault="005334D4" w:rsidP="005334D4">
      <w:pPr>
        <w:ind w:firstLine="720"/>
      </w:pPr>
      <w:r w:rsidRPr="005334D4">
        <w:t xml:space="preserve">В ст. 134 АПК установлен </w:t>
      </w:r>
      <w:r w:rsidRPr="005334D4">
        <w:rPr>
          <w:bCs/>
        </w:rPr>
        <w:t>срок</w:t>
      </w:r>
      <w:r w:rsidRPr="005334D4">
        <w:t xml:space="preserve"> подготовки дела к судебному разбирательству и момент ее завершения.</w:t>
      </w:r>
    </w:p>
    <w:p w:rsidR="005334D4" w:rsidRPr="005334D4" w:rsidRDefault="005334D4" w:rsidP="005334D4">
      <w:pPr>
        <w:ind w:firstLine="720"/>
      </w:pPr>
      <w:r w:rsidRPr="005334D4">
        <w:t>Двухмесячный срок, отведенный законом на подготовку дела к судебному разбирательству, свидетельствует о большой значимости этой стадии процесса. Дело должно быть подготовлено полно и всесторонне, поэтому и устанавливается определенный самостоятельный срок на эту стадию арбитражного процесса.</w:t>
      </w:r>
    </w:p>
    <w:p w:rsidR="005334D4" w:rsidRPr="005334D4" w:rsidRDefault="005334D4" w:rsidP="005334D4">
      <w:pPr>
        <w:ind w:firstLine="720"/>
      </w:pPr>
      <w:r w:rsidRPr="005334D4">
        <w:t>Судебная практика показала необходимость введения такого срока и его продолжительности. Сейчас важно, чтобы этот срок использовался продуктивно и точно по назначению, а не рассматривался только в качестве средства, позволяющего увеличить в целом сроки рассмотрения дела в суде первой инстанции.</w:t>
      </w:r>
    </w:p>
    <w:p w:rsidR="005334D4" w:rsidRPr="005334D4" w:rsidRDefault="005334D4" w:rsidP="005334D4">
      <w:pPr>
        <w:ind w:firstLine="720"/>
      </w:pPr>
      <w:r w:rsidRPr="005334D4">
        <w:t>Двухмесячный срок, отведенный Законом на подготовку дела к судебному разбирательству, исчисляется со дня поступления искового заявления в арбитражный суд. Срок на подготовку дела является предельным. Поэтому суд не может его увеличить, однако вправе завершить подготовку и ранее этого срока, если стороны посчитают, что дело надлежащим образом подготовлено к судебному разбирательству.</w:t>
      </w:r>
    </w:p>
    <w:p w:rsidR="005334D4" w:rsidRPr="005334D4" w:rsidRDefault="005334D4" w:rsidP="005334D4">
      <w:pPr>
        <w:ind w:firstLine="720"/>
      </w:pPr>
      <w:r w:rsidRPr="005334D4">
        <w:t>В этот срок входит и период оставления заявления без движения, поэтому, оставляя заявление без движения, всегда нужно учитывать это обстоятельство. В частности, соразмерять время оставления заявления без движения и возможности уложиться в срок по подготовке дела к судебному разбирательству.</w:t>
      </w:r>
    </w:p>
    <w:p w:rsidR="005334D4" w:rsidRPr="005334D4" w:rsidRDefault="005334D4" w:rsidP="005334D4">
      <w:pPr>
        <w:ind w:firstLine="720"/>
      </w:pPr>
      <w:r w:rsidRPr="005334D4">
        <w:t>Закрепленное в рассматриваемой статье правило о двухмесячном сроке подготовки не применяется по делам упрощенного производства.</w:t>
      </w:r>
    </w:p>
    <w:p w:rsidR="005334D4" w:rsidRPr="005334D4" w:rsidRDefault="005334D4" w:rsidP="005334D4">
      <w:pPr>
        <w:ind w:firstLine="720"/>
      </w:pPr>
      <w:r w:rsidRPr="005334D4">
        <w:t>Стадия подготовки дела к судебному разбирательству завершается предварительным судебным заседанием. Поскольку между завершением предварительного судебного заседания и днем судебного разбирательства дела может пройти определенный срок, не использовать его в случае необходимости для подготовки дела к судебному разбирательству вряд ли рационально и оправданно.</w:t>
      </w:r>
    </w:p>
    <w:p w:rsidR="005334D4" w:rsidRPr="005334D4" w:rsidRDefault="005334D4" w:rsidP="005334D4">
      <w:pPr>
        <w:ind w:firstLine="720"/>
        <w:jc w:val="center"/>
        <w:rPr>
          <w:b/>
        </w:rPr>
      </w:pPr>
      <w:r>
        <w:br w:type="page"/>
      </w:r>
      <w:r w:rsidRPr="005334D4">
        <w:rPr>
          <w:b/>
        </w:rPr>
        <w:t>2. Действия по подготовке дела к судебному разбирательству. Назначение дела к судебному разбирательству.</w:t>
      </w:r>
    </w:p>
    <w:p w:rsidR="005334D4" w:rsidRPr="005334D4" w:rsidRDefault="005334D4" w:rsidP="005334D4">
      <w:pPr>
        <w:ind w:firstLine="720"/>
      </w:pPr>
    </w:p>
    <w:p w:rsidR="005334D4" w:rsidRPr="005334D4" w:rsidRDefault="005334D4" w:rsidP="005334D4">
      <w:pPr>
        <w:ind w:firstLine="720"/>
      </w:pPr>
      <w:r w:rsidRPr="005334D4">
        <w:t>Действия по подготовке дела к судебному разбирательству, прежде всего, сводятся к тщательному изучению закона, руководящих разъяснений Высшего арбитражного суда (ВАС РФ), а в необходимых случаях и изучению юридической литературы по рассматриваемому вопросу, уяснению и определению характера спорного правоотношения, определению подлежащей применению при рассмотрении и разрешении спора нормы материального права, предмета доказывания, т.е. круга юридических фактов, имеющих существенное значение для правильного разрешения спора, определения круга доказательств, необходимых для подтверждения (опровержения) этих фактов, установления лиц, участвующих в деле.</w:t>
      </w:r>
    </w:p>
    <w:p w:rsidR="005334D4" w:rsidRPr="005334D4" w:rsidRDefault="005334D4" w:rsidP="005334D4">
      <w:pPr>
        <w:ind w:firstLine="720"/>
      </w:pPr>
      <w:r w:rsidRPr="005334D4">
        <w:t>Из содержания Закона следует, что вызов сторон должен иметь место по всем делам, независимо от их сложности. На собеседование должны вызываться обе стороны. Судья может вызывать их поочередно, хотя большего эффекта можно достичь при их одновременном вызове. Неявка сторон по вызову на собеседование к судье не влечет каких-либо неблагоприятных последствий для не явившейся в суд стороны.</w:t>
      </w:r>
    </w:p>
    <w:p w:rsidR="005334D4" w:rsidRPr="005334D4" w:rsidRDefault="005334D4" w:rsidP="005334D4">
      <w:pPr>
        <w:ind w:firstLine="720"/>
      </w:pPr>
      <w:r w:rsidRPr="005334D4">
        <w:t>Категория раскрытия доказательств впервые использована в действующем АПК. Под раскрытием доказательств следует понимать их представление стороной по своей инициативе или по предложению суда в его распоряжение всех имеющихся у нее доказательств, способных подтвердить обстоятельства, на которые она ссылается как на основание своих требований и возражений. Раскрытие доказательств охватывает не только представление их суду, но и их обозначение, сопровождавшееся ходатайством об истребовании необходимого доказательства.</w:t>
      </w:r>
    </w:p>
    <w:p w:rsidR="005334D4" w:rsidRPr="005334D4" w:rsidRDefault="005334D4" w:rsidP="005334D4">
      <w:pPr>
        <w:ind w:firstLine="720"/>
      </w:pPr>
      <w:r w:rsidRPr="005334D4">
        <w:t>Раскрытие доказательств является обязанностью стороны, в случае ее невыполнения могут наступить неблагоприятные правовые последствия, предусмотренные ст. 111 АПК.</w:t>
      </w:r>
    </w:p>
    <w:p w:rsidR="005334D4" w:rsidRPr="005334D4" w:rsidRDefault="005334D4" w:rsidP="005334D4">
      <w:pPr>
        <w:ind w:firstLine="720"/>
      </w:pPr>
      <w:r w:rsidRPr="005334D4">
        <w:t>Судья обязан разъяснить сторонам правовые последствия невыполнения предложения о раскрытии доказательств в установленный срок.</w:t>
      </w:r>
    </w:p>
    <w:p w:rsidR="005334D4" w:rsidRPr="005334D4" w:rsidRDefault="005334D4" w:rsidP="005334D4">
      <w:pPr>
        <w:ind w:firstLine="720"/>
      </w:pPr>
      <w:r w:rsidRPr="005334D4">
        <w:t>Предложение о раскрытии доказательств и правовые последствия его невыполнения должны быть сформулированы в определении о подготовке дела к судебному разбирательству. Поэтому последствия неисполнения стороною этой обязанности наступают независимо от личного присутствия стороны (ее представителя) в процессе подготовки.</w:t>
      </w:r>
    </w:p>
    <w:p w:rsidR="005334D4" w:rsidRPr="005334D4" w:rsidRDefault="005334D4" w:rsidP="005334D4">
      <w:pPr>
        <w:ind w:firstLine="720"/>
      </w:pPr>
      <w:r w:rsidRPr="005334D4">
        <w:t>В стадии подготовки дела к судебному разбирательству суд должен принимать меры к примирению сторон. Пленум ВАС РФ в п. 12 Постановления N 13 от 31 октября 1996 г. указал, что в соответствии с АПК судья принимает меры к примирению сторон. В зависимости от характера спора арбитражные суды должны содействовать окончанию дела путем заключения мирового соглашения. Возможность разрешения спора заключением мирового соглашения должна выясняться при подготовке дела к судебному разбирательству, в процессе судебного разбирательства.</w:t>
      </w:r>
    </w:p>
    <w:p w:rsidR="005334D4" w:rsidRPr="005334D4" w:rsidRDefault="005334D4" w:rsidP="005334D4">
      <w:pPr>
        <w:ind w:firstLine="720"/>
      </w:pPr>
      <w:r w:rsidRPr="005334D4">
        <w:t xml:space="preserve">В АПК предлагается урегулирование спора проводить в двух различных формах: </w:t>
      </w:r>
      <w:r w:rsidRPr="005334D4">
        <w:rPr>
          <w:iCs/>
        </w:rPr>
        <w:t>мировое соглашение и при содействии посредника.</w:t>
      </w:r>
    </w:p>
    <w:p w:rsidR="005334D4" w:rsidRPr="005334D4" w:rsidRDefault="005334D4" w:rsidP="005334D4">
      <w:pPr>
        <w:ind w:firstLine="720"/>
      </w:pPr>
      <w:r w:rsidRPr="005334D4">
        <w:t>Урегулирование спора при подготовке дела к судебному разбирательству может проводиться арбитражным судом первой инстанции по ходатайству одной или обеих сторон либо по инициативе суда. Урегулирование спора производится единолично судьей с участием истца и ответчика.</w:t>
      </w:r>
    </w:p>
    <w:p w:rsidR="005334D4" w:rsidRPr="005334D4" w:rsidRDefault="005334D4" w:rsidP="005334D4">
      <w:pPr>
        <w:ind w:firstLine="720"/>
      </w:pPr>
      <w:r w:rsidRPr="005334D4">
        <w:t>При собеседовании со сторонами судья разъясняет им право заключить мировое соглашение, правовые последствия совершения этого процессуального действия и всеми предусмотренными законом средствами содействует примирению сторон.</w:t>
      </w:r>
    </w:p>
    <w:p w:rsidR="005334D4" w:rsidRPr="005334D4" w:rsidRDefault="005334D4" w:rsidP="005334D4">
      <w:pPr>
        <w:ind w:firstLine="720"/>
      </w:pPr>
      <w:r w:rsidRPr="005334D4">
        <w:t>Урегулирование спора путем заключения мирового соглашения при содействии суда может быть произведено по любому делу, если иное не установлено Кодексом, когда судья на основании изучения искового заявления и приложенных к нему документов придет к выводу о возможности примирения сторон.</w:t>
      </w:r>
    </w:p>
    <w:p w:rsidR="005334D4" w:rsidRPr="005334D4" w:rsidRDefault="005334D4" w:rsidP="005334D4">
      <w:pPr>
        <w:ind w:firstLine="720"/>
      </w:pPr>
      <w:r w:rsidRPr="005334D4">
        <w:t>Вместе с тем судья, проводящий урегулирование спора, не может давать сторонам конкретных консультаций и рекомендаций по содержанию мирового соглашения, которое они могли бы принять по результатам достигнутого ими урегулирования спора, и оказывать конкретную практическую помощь в составлении текста проекта мирового соглашения, который в связи с этим подготавливается сторонами.</w:t>
      </w:r>
    </w:p>
    <w:p w:rsidR="005334D4" w:rsidRPr="005334D4" w:rsidRDefault="005334D4" w:rsidP="005334D4">
      <w:pPr>
        <w:ind w:firstLine="720"/>
      </w:pPr>
      <w:r w:rsidRPr="005334D4">
        <w:t>Судья не вправе давать оценку позиций, занимаемых сторонами в споре между ними, а также результатов предстоящего рассмотрения и разрешения спора арбитражным судом.</w:t>
      </w:r>
    </w:p>
    <w:p w:rsidR="005334D4" w:rsidRPr="005334D4" w:rsidRDefault="005334D4" w:rsidP="005334D4">
      <w:pPr>
        <w:ind w:firstLine="720"/>
      </w:pPr>
      <w:r w:rsidRPr="005334D4">
        <w:t>Процессуальный закон допускает урегулирование спора при содействии посредника. Посредничество - перспективная форма урегулирования спора. Разъяснив сторонам их право обратиться за содействием к посреднику в целях урегулирования спора, судья выясняет, не желают ли стороны воспользоваться такой возможностью. Урегулирование спора с помощью посредника при желании сторон может быть проведено по любому делу, возникающему из гражданских отношений.</w:t>
      </w:r>
    </w:p>
    <w:p w:rsidR="005334D4" w:rsidRPr="005334D4" w:rsidRDefault="005334D4" w:rsidP="005334D4">
      <w:pPr>
        <w:ind w:firstLine="720"/>
      </w:pPr>
      <w:r w:rsidRPr="005334D4">
        <w:t>Посредничество - примирительная процедура, направленная на урегулирование правового спора и выработку взаимоприемлемого решения самими сторонами с участием третьей стороны (посредника).</w:t>
      </w:r>
    </w:p>
    <w:p w:rsidR="005334D4" w:rsidRPr="005334D4" w:rsidRDefault="005334D4" w:rsidP="005334D4">
      <w:pPr>
        <w:ind w:firstLine="720"/>
      </w:pPr>
      <w:r w:rsidRPr="005334D4">
        <w:t xml:space="preserve">К преимуществам посредничества следует отнести универсальность, т.е. применимость его ко всем спорам с участием как граждан, так и организаций. Его достоинством является и то, что здесь стороны имеют возможность выбора "своего" судьи (посредника), а также возможность активно участвовать в урегулировании конфликта. Они сами приходят к компромиссному решению, а не получают его в качестве императива от другой стороны. Ответственность, как за принятие решения, так и за его выполнение лежит на самих сторонах. Применение посредничества выгодно для участников спора и с материальной стороны. </w:t>
      </w:r>
      <w:r w:rsidRPr="005334D4">
        <w:rPr>
          <w:rStyle w:val="ac"/>
        </w:rPr>
        <w:footnoteReference w:id="1"/>
      </w:r>
      <w:r w:rsidRPr="005334D4">
        <w:t xml:space="preserve">  </w:t>
      </w:r>
    </w:p>
    <w:p w:rsidR="005334D4" w:rsidRPr="005334D4" w:rsidRDefault="005334D4" w:rsidP="005334D4">
      <w:pPr>
        <w:ind w:firstLine="720"/>
      </w:pPr>
      <w:r w:rsidRPr="005334D4">
        <w:t>Посредничество может иметь место только при наличии соглашения сторон об использовании этой примирительной процедуры. Как форма разрешения спора оно всегда действует вне рамок арбитражного судопроизводства.</w:t>
      </w:r>
    </w:p>
    <w:p w:rsidR="005334D4" w:rsidRPr="005334D4" w:rsidRDefault="005334D4" w:rsidP="005334D4">
      <w:pPr>
        <w:ind w:firstLine="720"/>
      </w:pPr>
      <w:r w:rsidRPr="005334D4">
        <w:t>Процедура посредничества развивается по следующим этапам:</w:t>
      </w:r>
    </w:p>
    <w:p w:rsidR="005334D4" w:rsidRPr="005334D4" w:rsidRDefault="005334D4" w:rsidP="005334D4">
      <w:pPr>
        <w:ind w:firstLine="720"/>
      </w:pPr>
      <w:r w:rsidRPr="005334D4">
        <w:t>1) заключение соглашения об урегулировании правового конфликта с помощью посредника;</w:t>
      </w:r>
    </w:p>
    <w:p w:rsidR="005334D4" w:rsidRPr="005334D4" w:rsidRDefault="005334D4" w:rsidP="005334D4">
      <w:pPr>
        <w:ind w:firstLine="720"/>
      </w:pPr>
      <w:r w:rsidRPr="005334D4">
        <w:t>2) изучение посредником представленных материалов, уяснение сути спора между сторонами;</w:t>
      </w:r>
    </w:p>
    <w:p w:rsidR="005334D4" w:rsidRPr="005334D4" w:rsidRDefault="005334D4" w:rsidP="005334D4">
      <w:pPr>
        <w:ind w:firstLine="720"/>
      </w:pPr>
      <w:r w:rsidRPr="005334D4">
        <w:t>3) переговоры с каждой из сторон, выяснение позиций каждой из них по спорным вопросам;</w:t>
      </w:r>
    </w:p>
    <w:p w:rsidR="005334D4" w:rsidRPr="005334D4" w:rsidRDefault="005334D4" w:rsidP="005334D4">
      <w:pPr>
        <w:ind w:firstLine="720"/>
      </w:pPr>
      <w:r w:rsidRPr="005334D4">
        <w:t>4) определение спорных проблем, разработка плана их разрешения;</w:t>
      </w:r>
    </w:p>
    <w:p w:rsidR="005334D4" w:rsidRPr="005334D4" w:rsidRDefault="005334D4" w:rsidP="005334D4">
      <w:pPr>
        <w:ind w:firstLine="720"/>
      </w:pPr>
      <w:r w:rsidRPr="005334D4">
        <w:t>5) выработка совместно со сторонами нескольких вариантов их разрешения;</w:t>
      </w:r>
    </w:p>
    <w:p w:rsidR="005334D4" w:rsidRPr="005334D4" w:rsidRDefault="005334D4" w:rsidP="005334D4">
      <w:pPr>
        <w:ind w:firstLine="720"/>
      </w:pPr>
      <w:r w:rsidRPr="005334D4">
        <w:t>6) обсуждение предложенных вариантов (достоинства и недостатки каждого), поиск взаимоприемлемого решения спорных проблем и пути его реализации;</w:t>
      </w:r>
    </w:p>
    <w:p w:rsidR="005334D4" w:rsidRPr="005334D4" w:rsidRDefault="005334D4" w:rsidP="005334D4">
      <w:pPr>
        <w:ind w:firstLine="720"/>
      </w:pPr>
      <w:r w:rsidRPr="005334D4">
        <w:t>7) оформление достигнутого соглашения;</w:t>
      </w:r>
    </w:p>
    <w:p w:rsidR="005334D4" w:rsidRPr="005334D4" w:rsidRDefault="005334D4" w:rsidP="005334D4">
      <w:pPr>
        <w:ind w:firstLine="720"/>
      </w:pPr>
      <w:r w:rsidRPr="005334D4">
        <w:t>8) содействие исполнению достигнутого соглашения.</w:t>
      </w:r>
    </w:p>
    <w:p w:rsidR="005334D4" w:rsidRPr="005334D4" w:rsidRDefault="005334D4" w:rsidP="005334D4">
      <w:pPr>
        <w:ind w:firstLine="720"/>
      </w:pPr>
      <w:r w:rsidRPr="005334D4">
        <w:t>Правило, сформулированное в п. 3 ч. 1 ст. 135 АПК, ориентирует суд и лиц, участвующих в деле, на получение необходимых доказательств, подтверждающих требования и возражения сторон. Они должны быть относимы и допустимы. Круг необходимых средств доказывания определяется с учетом характера заявленных требований и возражений. При этом следует иметь в виду, что по каждой категории экономических споров существуют различные средства доказывания.</w:t>
      </w:r>
    </w:p>
    <w:p w:rsidR="005334D4" w:rsidRPr="005334D4" w:rsidRDefault="005334D4" w:rsidP="005334D4">
      <w:pPr>
        <w:ind w:firstLine="720"/>
      </w:pPr>
      <w:r w:rsidRPr="005334D4">
        <w:t>Так, в частности, должны быть получены и приобщены к делу:</w:t>
      </w:r>
    </w:p>
    <w:p w:rsidR="005334D4" w:rsidRPr="005334D4" w:rsidRDefault="005334D4" w:rsidP="005334D4">
      <w:pPr>
        <w:ind w:firstLine="720"/>
      </w:pPr>
      <w:r w:rsidRPr="005334D4">
        <w:t>а) о признании права собственности на часть жилого дома или нежилого строения - правоустанавливающие документы на жилой дом или нежилое строение (договор о совместной деятельности; договор о долевом участии в строительстве жилого дома или нежилого строения; акт приемки дома в эксплуатацию; справки БТИ или технический паспорт БТИ о правовой регистрации дома; поэтажный план дома или строения; документы о действительной стоимости дома или его частей - акт компетентной комиссии); доказательства, подтверждающие участие истца рабочей силой или средствами в возведении дома или строения (счета на оплату доли; счета на оплату материалов и их перевозку, накладные, квитанции, чеки и т.п.); доказательства, устанавливающие наличие договоренности между истцом и застройщиком о создании общей собственности на дом или строение; документы о выделении земельного участка (свидетельство о праве собственности, об аренде земли, акт отвода земельного участка и т.п.); если на возведение дома была представлена ссуда (кредит) - документы, подтверждающие предоставление целевой ссуды;</w:t>
      </w:r>
    </w:p>
    <w:p w:rsidR="005334D4" w:rsidRPr="005334D4" w:rsidRDefault="005334D4" w:rsidP="005334D4">
      <w:pPr>
        <w:ind w:firstLine="720"/>
      </w:pPr>
      <w:r w:rsidRPr="005334D4">
        <w:t>б) о разделе жилого дома, строения в натуре - документы, подтверждающие права сторон на жилой дом или строение, размер доли каждого сособственника (договор купли - продажи дома или строения, справки БТИ, договор мены, свидетельство о праве собственности, решение арбитражного суда о праве собственности и т.п.); поэтажный план дома или строения; техническое заключение специалистов о возможности и вариантах его раздела в натуре в соответствии с размером доли каждого сособственника; план возможных вариантов раздела и др.;</w:t>
      </w:r>
    </w:p>
    <w:p w:rsidR="005334D4" w:rsidRPr="005334D4" w:rsidRDefault="005334D4" w:rsidP="005334D4">
      <w:pPr>
        <w:ind w:firstLine="720"/>
      </w:pPr>
      <w:r w:rsidRPr="005334D4">
        <w:t>в) о возврате имущества из чужого незаконного владения - доказательства, подтверждающие право истца на спорное имущество (свидетельство о праве собственности, договор купли - продажи, мены, решение арбитражного суда о признании права собственности, накладные, квитанции, счета, чеки, паспорта, удостоверения и т.п.); доказательства, подтверждающие наличие спорного имущества у ответчика (акты, материалы служебных проверок и т.п.); документы о действительной стоимости имущества (счета, балансы, спецификации, договоры, чеки, накладные и т.п.); если спорное имущество приобретено ответчиком возмездно, но непосредственно у истца, то последний представляет доказательства того, что имущество приобретено возмездно (договор купли - продажи, мены, счета и т.п.), а также что это имущество утеряно, либо похищено у него, либо выбыло из владения помимо его воли; доказательства, подтверждающие размер доходов, полученных ответчиками за пользование имуществом, которые подлежат возмещению истцу, если он заявил об этом требование;</w:t>
      </w:r>
    </w:p>
    <w:p w:rsidR="005334D4" w:rsidRPr="005334D4" w:rsidRDefault="005334D4" w:rsidP="005334D4">
      <w:pPr>
        <w:ind w:firstLine="720"/>
      </w:pPr>
      <w:r w:rsidRPr="005334D4">
        <w:t>г) о взыскании стоимости некачественной продукции (товаров) и штрафа за поставку некачественной продукции (товаров) - договор поставки, счет, доказательства оплаты счета (справки бухгалтерии), расчет суммы иска, транспортные документы, документы, удостоверяющие качество отгруженной продукции (сертификат качества); удостоверение представителя общественности или представителя другой организации на участие в приемке продукции по качеству; акт приемки продукции по качеству и (или) акт экспертизы; доказательства уведомления поставщика о некачественности продукции (телеграмма и т.п.); ГОСТ, ТУ и другие нормативные документы, определяющие требования к качеству данного вида продукции (подлинники, копии или выписки) и т.п.;</w:t>
      </w:r>
    </w:p>
    <w:p w:rsidR="005334D4" w:rsidRPr="005334D4" w:rsidRDefault="005334D4" w:rsidP="005334D4">
      <w:pPr>
        <w:ind w:firstLine="720"/>
      </w:pPr>
      <w:r w:rsidRPr="005334D4">
        <w:t>д) о взыскании стоимости недостающей продукции (товаров) - договор поставки, платежный документ на оплату продукции, доказательство оплаты счета поставщика (продукции) - справка бухгалтерии; транспортные документы (накладные, фактуры и т.п.); ведомости подачи - уборки вагонов, памятка приемосдатчика, наряд на вывозку груза со станции; сопроводительные документы грузоотправителя; удостоверение представителя общественности или представителя незаинтересованной организации; акт приемки продукции (товаров) по количеству; доказательства уведомления поставщика о недостаче (телеграмма и т.п.); материалы служебного расследования недостачи (если проводилось расследование) и др.;</w:t>
      </w:r>
    </w:p>
    <w:p w:rsidR="005334D4" w:rsidRPr="005334D4" w:rsidRDefault="005334D4" w:rsidP="005334D4">
      <w:pPr>
        <w:ind w:firstLine="720"/>
      </w:pPr>
      <w:r w:rsidRPr="005334D4">
        <w:t>е) об изменении условий договора аренды или дополнении договора аренды нежилого помещения - предложение внести изменения или дополнить договор аренды; ответ на это предложение; документы о согласовании условий договора (письма, телеграммы, протоколы и т.п.); документы, подтверждающие необходимость внести изменения в договор (устав организации, договор купли - продажи и т.п.); документы, подтверждающие права арендодателя на имущество (баланс, карточки учета, акты и т.п.);</w:t>
      </w:r>
    </w:p>
    <w:p w:rsidR="005334D4" w:rsidRPr="005334D4" w:rsidRDefault="005334D4" w:rsidP="005334D4">
      <w:pPr>
        <w:ind w:firstLine="720"/>
      </w:pPr>
      <w:r w:rsidRPr="005334D4">
        <w:t>ж) о досрочном расторжении договора аренды нежилого помещения - документы, подтверждающие права арендатора на имущество (баланс, акты, договор и т.п.); подтверждающие необходимость расторжения договора аренды (нуждаемость в помещении, неплатежи арендной платы, акты, справки и т.п.); документ, содержащий предложение расторгнуть договор; доказательство, что это предложение направлено ответчику; ответ на предложение расторгнуть договор аренды; договор аренды;</w:t>
      </w:r>
    </w:p>
    <w:p w:rsidR="005334D4" w:rsidRPr="005334D4" w:rsidRDefault="005334D4" w:rsidP="005334D4">
      <w:pPr>
        <w:ind w:firstLine="720"/>
      </w:pPr>
      <w:r w:rsidRPr="005334D4">
        <w:t>з) о возмещении стоимости утраченного или недостающего имущества, сданного на хранение, - договор хранения; документы, подтверждающие передачу имущества на хранение (квитанция, опись, счет - фактура и т.п.); доказательства утраты, недостачи имущества (акты, постановления компетентных органов и т.п.); документы, подтверждающие стоимость имущества с учетом его износа (справки бюро товарных экспертиз, карточки учета, данные баланса и т.п.);</w:t>
      </w:r>
    </w:p>
    <w:p w:rsidR="005334D4" w:rsidRPr="005334D4" w:rsidRDefault="005334D4" w:rsidP="005334D4">
      <w:pPr>
        <w:ind w:firstLine="720"/>
      </w:pPr>
      <w:r w:rsidRPr="005334D4">
        <w:t>и) о признании недействительными (полностью или частично) актов государственных или иных органов (адресованных конкретным лицам или группе лиц) - копии учредительных документов истца, свидетельство о регистрации его предприятия; оспариваемый акт (постановление, распоряжение, приказ, указание, предписание соответствующего государственного или иного органа); документы, подтверждающие недействительность оспариваемого акта (письма, акты, решения компетентного органа, заключения экспертизы и т.п.); переписка с ответчиком по спорному вопросу;</w:t>
      </w:r>
    </w:p>
    <w:p w:rsidR="005334D4" w:rsidRPr="005334D4" w:rsidRDefault="005334D4" w:rsidP="005334D4">
      <w:pPr>
        <w:ind w:firstLine="720"/>
      </w:pPr>
      <w:r w:rsidRPr="005334D4">
        <w:t>к) об обжаловании отказа в государственной регистрации предприятия либо уклонении от регистрации в установленный срок - учредительные документы о создании предприятия (договор учредителей, устав, решение собственника и т.п.); копия заявления о регистрации предприятия; доказательства передачи заявления со всеми необходимыми документами администрации (либо органу, на который возложена регистрация); платежный документ об уплате в бюджет регистрационного сбора; ответ администрации с отказом зарегистрировать предприятие</w:t>
      </w:r>
      <w:r w:rsidRPr="005334D4">
        <w:rPr>
          <w:rStyle w:val="ac"/>
        </w:rPr>
        <w:footnoteReference w:id="2"/>
      </w:r>
      <w:r w:rsidRPr="005334D4">
        <w:t xml:space="preserve">.  </w:t>
      </w:r>
    </w:p>
    <w:p w:rsidR="005334D4" w:rsidRPr="005334D4" w:rsidRDefault="005334D4" w:rsidP="005334D4">
      <w:pPr>
        <w:ind w:firstLine="720"/>
      </w:pPr>
      <w:r w:rsidRPr="005334D4">
        <w:t xml:space="preserve">В соответствии с п. 3 ч. 1 ст. 135 АПК судье предоставлено право рассматривать вопрос о назначении экспертизы при подготовке дела к судебному разбирательству. Надо иметь в виду, что она назначается во всех случаях, когда необходимость экспертного заключения явствует из обстоятельств дела и представленных доказательств. При этом должны учитываться требования ст. 55, 82 - 85 АПК; лицам, участвующим в деле, необходимо разъяснить их право поставить перед экспертом вопросы, по которым должно быть дано заключение, и предложить кандидатуры экспертов.  </w:t>
      </w:r>
    </w:p>
    <w:p w:rsidR="005334D4" w:rsidRPr="005334D4" w:rsidRDefault="005334D4" w:rsidP="005334D4">
      <w:pPr>
        <w:ind w:firstLine="720"/>
      </w:pPr>
      <w:r w:rsidRPr="005334D4">
        <w:t>При направлении поручений другим арбитражным судам необходимо иметь в виду, что судебное поручение является исключительным способом собирания относящихся к делу доказательств и может применяться лишь в тех случаях, когда эти доказательства по каким-либо причинам не могут быть собраны арбитражным судом, рассматривающим спор.</w:t>
      </w:r>
    </w:p>
    <w:p w:rsidR="005334D4" w:rsidRPr="005334D4" w:rsidRDefault="005334D4" w:rsidP="005334D4">
      <w:pPr>
        <w:ind w:firstLine="720"/>
      </w:pPr>
      <w:r w:rsidRPr="005334D4">
        <w:t>Следовательно, в порядке судебного поручения не могут собираться письменные и вещественные доказательства, которые арбитражный суд, рассматривающий дело, должен сам истребовать от организации или граждан.</w:t>
      </w:r>
    </w:p>
    <w:p w:rsidR="005334D4" w:rsidRPr="005334D4" w:rsidRDefault="005334D4" w:rsidP="005334D4">
      <w:pPr>
        <w:ind w:firstLine="720"/>
      </w:pPr>
      <w:r w:rsidRPr="005334D4">
        <w:t>Вопрос о привлечении в дело другого ответчика или третьего лица должен решаться с учетом требований ст. 46, 50, 51 АПК.</w:t>
      </w:r>
    </w:p>
    <w:p w:rsidR="005334D4" w:rsidRPr="005334D4" w:rsidRDefault="005334D4" w:rsidP="005334D4">
      <w:pPr>
        <w:ind w:firstLine="720"/>
      </w:pPr>
      <w:r w:rsidRPr="005334D4">
        <w:t xml:space="preserve">Третьи лица, заявляющие самостоятельные требования на предмет спора, в соответствии со ст. 50 АПК не могут быть привлечены к участию в деле по инициативе арбитражного суда. Вопрос о вступлении (невступлении) в дело эти лица решают самостоятельно, что объясняется действием в арбитражном процессе принципа диспозитивности.  </w:t>
      </w:r>
    </w:p>
    <w:p w:rsidR="005334D4" w:rsidRPr="005334D4" w:rsidRDefault="005334D4" w:rsidP="005334D4">
      <w:pPr>
        <w:ind w:firstLine="720"/>
      </w:pPr>
      <w:r w:rsidRPr="005334D4">
        <w:t>Третьи лица, не заявляющие самостоятельных требований на предмет спора, привлекаются к участию в деле по ходатайству сторон или по инициативе суда. Такое ходатайство могут заявить и третьи лица с самостоятельными требованиями на предмет спора, а также прокурор (ст. 52 АПК), государственные органы, органы местного самоуправления и иные органы, выступающие в процессе в соответствии со ст. 53 АПК. И это понятно, поскольку все они пользуются процессуальными правами истца.</w:t>
      </w:r>
    </w:p>
    <w:p w:rsidR="005334D4" w:rsidRPr="005334D4" w:rsidRDefault="005334D4" w:rsidP="005334D4">
      <w:pPr>
        <w:ind w:firstLine="720"/>
      </w:pPr>
      <w:r w:rsidRPr="005334D4">
        <w:t>В стадии подготовки дела к судебному разбирательству судья вправе совершать различные процессуальные действия. Они подробно перечислены в ст. 135 АПК, но приведенный перечень не является исчерпывающим. Возможны и другие действия, обеспечивающие правильное и своевременное разрешение спора.</w:t>
      </w:r>
    </w:p>
    <w:p w:rsidR="005334D4" w:rsidRPr="005334D4" w:rsidRDefault="005334D4" w:rsidP="005334D4">
      <w:pPr>
        <w:ind w:firstLine="720"/>
      </w:pPr>
      <w:r w:rsidRPr="005334D4">
        <w:t>В стадии подготовки дела к судебному разбирательству судья может предложить лицам, участвующим в деле, совершить самые разнообразные действия: определить или уточнить правовую позицию, представить круг вопросов, которые должны быть разъяснены при проведении экспертизы, ответчику - дать отзыв на исковое заявление, если он не сделал этого ранее, и др.</w:t>
      </w:r>
    </w:p>
    <w:p w:rsidR="005334D4" w:rsidRPr="005334D4" w:rsidRDefault="005334D4" w:rsidP="005334D4">
      <w:pPr>
        <w:ind w:firstLine="720"/>
      </w:pPr>
      <w:r w:rsidRPr="005334D4">
        <w:t>Пленум ВАС РФ в Постановлении N 13 разъяснил, что процессуальные действия, направленные на подготовку дела к судебному разбирательству, судья совершает в порядке, предусмотренном в АПК.</w:t>
      </w:r>
    </w:p>
    <w:p w:rsidR="005334D4" w:rsidRPr="005334D4" w:rsidRDefault="005334D4" w:rsidP="005334D4">
      <w:pPr>
        <w:ind w:firstLine="720"/>
      </w:pPr>
      <w:r w:rsidRPr="005334D4">
        <w:t>Предварительное судебное заседание - новый институт в арбитражном судопроизводстве. Оно призвано превратить стадию подготовки дела к судебному разбирательству в реально функционирующую. Проведение предварительного судебного заседания обязательно по каждому делу.</w:t>
      </w:r>
    </w:p>
    <w:p w:rsidR="005334D4" w:rsidRPr="005334D4" w:rsidRDefault="005334D4" w:rsidP="005334D4">
      <w:pPr>
        <w:ind w:firstLine="720"/>
      </w:pPr>
      <w:r w:rsidRPr="005334D4">
        <w:t>Статья 136 АПК определяет, кто проводит предварительное судебное заседание, правовые последствия неявки сторон и других заинтересованных лиц, вопросы, разрешаемые в предварительном судебном заседании, права сторон и порядок завершения заседания.</w:t>
      </w:r>
    </w:p>
    <w:p w:rsidR="005334D4" w:rsidRPr="005334D4" w:rsidRDefault="005334D4" w:rsidP="005334D4">
      <w:pPr>
        <w:ind w:firstLine="720"/>
      </w:pPr>
      <w:r w:rsidRPr="005334D4">
        <w:t>В предварительном судебном заседании арбитражного суда дело рассматривается единолично судьей с извещением сторон и других заинтересованных лиц о времени и месте его проведения. Неявка в заседание сторон и других заинтересованных лиц не является препятствием к его проведению.</w:t>
      </w:r>
    </w:p>
    <w:p w:rsidR="005334D4" w:rsidRPr="005334D4" w:rsidRDefault="005334D4" w:rsidP="005334D4">
      <w:pPr>
        <w:ind w:firstLine="720"/>
      </w:pPr>
      <w:r w:rsidRPr="005334D4">
        <w:t>Однако если в деле нет сведений о надлежащем извещении кого-либо из неявившихся в судебное заседание лиц, участвующих в деле, проведение предварительного судебного заседания откладывается.</w:t>
      </w:r>
    </w:p>
    <w:p w:rsidR="005334D4" w:rsidRPr="005334D4" w:rsidRDefault="005334D4" w:rsidP="005334D4">
      <w:pPr>
        <w:ind w:firstLine="720"/>
      </w:pPr>
      <w:r w:rsidRPr="005334D4">
        <w:t>В предварительном судебном заседании действует принцип состязательности, поэтому стороны вправе представлять доказательства, заявлять ходатайства, излагать свои доводы по всем возникающим в заседании вопросам.</w:t>
      </w:r>
    </w:p>
    <w:p w:rsidR="005334D4" w:rsidRPr="005334D4" w:rsidRDefault="005334D4" w:rsidP="005334D4">
      <w:pPr>
        <w:ind w:firstLine="720"/>
      </w:pPr>
      <w:r w:rsidRPr="005334D4">
        <w:t>Перерыв в предварительном судебном заседании может быть объявлен судом только по ходатайству лиц, участвующих в деле, и на срок не более пяти дней. Он объявляется для представления участвующими в деле лицами дополнительных доказательств, если они не были полностью раскрыты до этого.</w:t>
      </w:r>
    </w:p>
    <w:p w:rsidR="005334D4" w:rsidRPr="005334D4" w:rsidRDefault="005334D4" w:rsidP="005334D4">
      <w:pPr>
        <w:ind w:firstLine="720"/>
      </w:pPr>
      <w:r w:rsidRPr="005334D4">
        <w:t>Если после рассмотрения всех вынесенных в предварительное судебное заседание вопросов арбитражный суд, выслушав мнение сторон и привлекаемых к участию в деле третьих лиц, придет к выводу, что дело не готово к судебному разбирательству, он должен назначить новое предварительное судебное заседание, о чем вынести определение. В определении следует указать время и место его проведения и процессуальные действия, которые должны быть совершены лицами, участвующими в деле, в установленный срок.</w:t>
      </w:r>
    </w:p>
    <w:p w:rsidR="005334D4" w:rsidRPr="005334D4" w:rsidRDefault="005334D4" w:rsidP="005334D4">
      <w:pPr>
        <w:ind w:firstLine="720"/>
      </w:pPr>
      <w:r w:rsidRPr="005334D4">
        <w:t>Судья, признав дело подготовленным, выносит определение о назначении дела к судебному разбирательству.</w:t>
      </w:r>
    </w:p>
    <w:p w:rsidR="005334D4" w:rsidRPr="005334D4" w:rsidRDefault="005334D4" w:rsidP="005334D4">
      <w:pPr>
        <w:ind w:firstLine="720"/>
      </w:pPr>
      <w:r w:rsidRPr="005334D4">
        <w:t>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5334D4" w:rsidRPr="005334D4" w:rsidRDefault="005334D4" w:rsidP="005334D4">
      <w:pPr>
        <w:ind w:firstLine="720"/>
      </w:pPr>
      <w:r w:rsidRPr="005334D4">
        <w:t>Вынесением определения о назначении дела к судебному разбирательству завершается подготовка дела к судебному разбирательству. Как уже отмечалось, в необходимых случаях судья вправе совершать предусмотренные законом процессуальные действия и после вынесения указанного определения до первого судебного заседания в стадии судебного разбирательства. Такой подход к решению вопроса позволит избежать неоправданных отложений разбирательства дела и ненужной затяжки его рассмотрения.</w:t>
      </w:r>
    </w:p>
    <w:p w:rsidR="005334D4" w:rsidRPr="005334D4" w:rsidRDefault="005334D4" w:rsidP="005334D4">
      <w:pPr>
        <w:ind w:firstLine="720"/>
      </w:pPr>
      <w:r w:rsidRPr="005334D4">
        <w:t>Если в предварительном судебном заседании присутствуют лица, участвующие в деле, и они не возражают против продолжения рассмотрения дела в судебном заседании арбитражного суда первой инстанции, суд завершает предварительное заседание и открывает судебное заседание в первой инстанции, за исключением случаев, если в соответствии с настоящим Кодексом требуется коллегиальное рассмотрение данного дела.</w:t>
      </w:r>
    </w:p>
    <w:p w:rsidR="005334D4" w:rsidRPr="005334D4" w:rsidRDefault="005334D4" w:rsidP="005334D4">
      <w:pPr>
        <w:ind w:firstLine="720"/>
      </w:pPr>
      <w:r w:rsidRPr="005334D4">
        <w:t>Это правило, закрепленное в ч. 4 ст. 137 АПК, позволяет ускорить разрешение спора, способствует экономии процессуальных средств. Однако пользоваться им следует весьма осторожно, не нарушая принципы равноправия сторон, состязательности и др. Согласие лиц, участвующих в деле, должно быть оформлено в письменной форме или удостоверено их подписями в протоколе судебного заседания.</w:t>
      </w:r>
    </w:p>
    <w:p w:rsidR="005334D4" w:rsidRPr="005334D4" w:rsidRDefault="005334D4" w:rsidP="005334D4">
      <w:pPr>
        <w:ind w:firstLine="720"/>
      </w:pPr>
      <w:r w:rsidRPr="005334D4">
        <w:t>При коллегиальном рассмотрении дела данное правило не применяется.</w:t>
      </w:r>
    </w:p>
    <w:p w:rsidR="005334D4" w:rsidRPr="005334D4" w:rsidRDefault="005334D4" w:rsidP="005334D4">
      <w:pPr>
        <w:ind w:firstLine="720"/>
        <w:jc w:val="center"/>
        <w:rPr>
          <w:b/>
        </w:rPr>
      </w:pPr>
      <w:r>
        <w:br w:type="page"/>
      </w:r>
      <w:r w:rsidRPr="005334D4">
        <w:rPr>
          <w:b/>
        </w:rPr>
        <w:t>3. Обеспечение иска в арбитражном процессе.</w:t>
      </w:r>
    </w:p>
    <w:p w:rsidR="005334D4" w:rsidRPr="005334D4" w:rsidRDefault="005334D4" w:rsidP="005334D4">
      <w:pPr>
        <w:ind w:firstLine="720"/>
      </w:pPr>
    </w:p>
    <w:p w:rsidR="005334D4" w:rsidRPr="005334D4" w:rsidRDefault="005334D4" w:rsidP="005334D4">
      <w:pPr>
        <w:ind w:firstLine="720"/>
      </w:pPr>
      <w:r w:rsidRPr="005334D4">
        <w:t>При предъявлении иска истец стремится к тому, чтобы его требование к ответчику решением арбитражного</w:t>
      </w:r>
      <w:r>
        <w:t xml:space="preserve"> </w:t>
      </w:r>
      <w:r w:rsidRPr="005334D4">
        <w:t>суда</w:t>
      </w:r>
      <w:r>
        <w:t xml:space="preserve"> </w:t>
      </w:r>
      <w:r w:rsidRPr="005334D4">
        <w:t>было</w:t>
      </w:r>
      <w:r>
        <w:t xml:space="preserve"> </w:t>
      </w:r>
      <w:r w:rsidRPr="005334D4">
        <w:t>удовлетворено</w:t>
      </w:r>
      <w:r>
        <w:t xml:space="preserve"> </w:t>
      </w:r>
      <w:r w:rsidRPr="005334D4">
        <w:t>и</w:t>
      </w:r>
      <w:r>
        <w:t xml:space="preserve"> </w:t>
      </w:r>
      <w:r w:rsidRPr="005334D4">
        <w:t>исполнено. Если имеются опасения, что исполнить принятое решение будет затруднительно или невозможно, то возникает необходимость в принятии мер, направленных на обеспечение исполнения решения, которое в будущем должен вынести арбитражный суд.</w:t>
      </w:r>
    </w:p>
    <w:p w:rsidR="005334D4" w:rsidRPr="005334D4" w:rsidRDefault="005334D4" w:rsidP="005334D4">
      <w:pPr>
        <w:ind w:firstLine="720"/>
      </w:pPr>
      <w:r w:rsidRPr="005334D4">
        <w:t>Принятие арбитражным судом предусмотренных АПК РФ мер, гарантирующих возможность исполнения решения,</w:t>
      </w:r>
      <w:r>
        <w:t xml:space="preserve"> </w:t>
      </w:r>
      <w:r w:rsidRPr="005334D4">
        <w:t>называется</w:t>
      </w:r>
      <w:r>
        <w:t xml:space="preserve"> </w:t>
      </w:r>
      <w:r w:rsidRPr="005334D4">
        <w:rPr>
          <w:bCs/>
        </w:rPr>
        <w:t>обеспечением иска.</w:t>
      </w:r>
      <w:r w:rsidRPr="005334D4">
        <w:t xml:space="preserve"> Обеспечение иска и встречное обеспечение осуществляется по правилам гл. 8 АПК.</w:t>
      </w:r>
    </w:p>
    <w:p w:rsidR="005334D4" w:rsidRPr="005334D4" w:rsidRDefault="005334D4" w:rsidP="005334D4">
      <w:pPr>
        <w:ind w:firstLine="720"/>
      </w:pPr>
      <w:r w:rsidRPr="005334D4">
        <w:t>При необходимости иск может быть обеспечен частично, например, когда он состоит из нескольких требований и в обеспечении нуждается не весь иск, а только отдельные его требования.</w:t>
      </w:r>
    </w:p>
    <w:p w:rsidR="005334D4" w:rsidRPr="005334D4" w:rsidRDefault="005334D4" w:rsidP="005334D4">
      <w:pPr>
        <w:ind w:firstLine="720"/>
      </w:pPr>
      <w:r w:rsidRPr="005334D4">
        <w:t>Обеспечение иска допускается как по первоначальному, так и по встречному иску.</w:t>
      </w:r>
    </w:p>
    <w:p w:rsidR="005334D4" w:rsidRPr="005334D4" w:rsidRDefault="005334D4" w:rsidP="005334D4">
      <w:pPr>
        <w:ind w:firstLine="720"/>
      </w:pPr>
      <w:r w:rsidRPr="005334D4">
        <w:t>В соответствии со ст. 90 АПК обеспечение иска допускается в любой стадии арбитражного процесса, если непринятие таких мер может затруднить или сделать невозможным исполнение судебного акта.</w:t>
      </w:r>
    </w:p>
    <w:p w:rsidR="005334D4" w:rsidRPr="005334D4" w:rsidRDefault="005334D4" w:rsidP="005334D4">
      <w:pPr>
        <w:ind w:firstLine="720"/>
      </w:pPr>
      <w:r w:rsidRPr="005334D4">
        <w:t>При наличии условий, указанных в ст. 90 АПК, обеспечение иска по ходатайству сторон может иметь место и в стадии подготовки дела к судебному разбирательству. В этих случаях соответствующие меры должны быть приняты безотлагательно.</w:t>
      </w:r>
    </w:p>
    <w:p w:rsidR="005334D4" w:rsidRPr="005334D4" w:rsidRDefault="005334D4" w:rsidP="005334D4">
      <w:pPr>
        <w:ind w:firstLine="720"/>
      </w:pPr>
      <w:r w:rsidRPr="005334D4">
        <w:t>Кодекс не предусматривает конкретных оснований, обязывающих суд обеспечить иск, в частности, не выдвигает условием обеспечения иска его обоснованность представленными доказательствами. Рассматривая этот вопрос, арбитражный суд не может, однако, не учитывать наличие данных, обосновывающих исковые требования, и исходить из того, что меры по обеспечению иска принимаются с учетом конкретных обстоятельств дела и только тогда, когда в этом действительно есть необходимость.</w:t>
      </w:r>
    </w:p>
    <w:p w:rsidR="005334D4" w:rsidRPr="005334D4" w:rsidRDefault="005334D4" w:rsidP="005334D4">
      <w:pPr>
        <w:ind w:firstLine="720"/>
      </w:pPr>
      <w:r w:rsidRPr="005334D4">
        <w:t>Определенное значение имеет реакция ответчика на предложение истца непосредственно урегулировать спор в досудебном (претензионном) порядке, когда такой порядок установлен федеральным законом для данной категории споров или договором, а также другая переписка, предшествующая предъявлению иска.</w:t>
      </w:r>
    </w:p>
    <w:p w:rsidR="005334D4" w:rsidRPr="005334D4" w:rsidRDefault="005334D4" w:rsidP="005334D4">
      <w:pPr>
        <w:ind w:firstLine="720"/>
      </w:pPr>
      <w:r w:rsidRPr="005334D4">
        <w:t>Обеспечительными мерами могут быть:</w:t>
      </w:r>
    </w:p>
    <w:p w:rsidR="005334D4" w:rsidRPr="005334D4" w:rsidRDefault="005334D4" w:rsidP="005334D4">
      <w:pPr>
        <w:ind w:firstLine="720"/>
      </w:pPr>
      <w:r w:rsidRPr="005334D4">
        <w:t>1) наложение ареста на денежные средства или иное имущество, принадлежащие ответчику и находящиеся у него или других лиц;</w:t>
      </w:r>
    </w:p>
    <w:p w:rsidR="005334D4" w:rsidRPr="005334D4" w:rsidRDefault="005334D4" w:rsidP="005334D4">
      <w:pPr>
        <w:ind w:firstLine="720"/>
      </w:pPr>
      <w:r w:rsidRPr="005334D4">
        <w:t>2) запрещение ответчику и другим лицам совершать определенные действия, касающиеся предмета спора;</w:t>
      </w:r>
    </w:p>
    <w:p w:rsidR="005334D4" w:rsidRPr="005334D4" w:rsidRDefault="005334D4" w:rsidP="005334D4">
      <w:pPr>
        <w:ind w:firstLine="720"/>
      </w:pPr>
      <w:r w:rsidRPr="005334D4">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5334D4" w:rsidRPr="005334D4" w:rsidRDefault="005334D4" w:rsidP="005334D4">
      <w:pPr>
        <w:ind w:firstLine="720"/>
      </w:pPr>
      <w:r w:rsidRPr="005334D4">
        <w:t>4) передача спорного имущества на хранение истцу или другому лицу;</w:t>
      </w:r>
    </w:p>
    <w:p w:rsidR="005334D4" w:rsidRPr="005334D4" w:rsidRDefault="005334D4" w:rsidP="005334D4">
      <w:pPr>
        <w:ind w:firstLine="720"/>
      </w:pPr>
      <w:r w:rsidRPr="005334D4">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5334D4" w:rsidRPr="005334D4" w:rsidRDefault="005334D4" w:rsidP="005334D4">
      <w:pPr>
        <w:ind w:firstLine="720"/>
      </w:pPr>
      <w:r w:rsidRPr="005334D4">
        <w:t>6) приостановление реализации имущества в случае предъявления иска об освобождении имущества от ареста.</w:t>
      </w:r>
    </w:p>
    <w:p w:rsidR="005334D4" w:rsidRPr="005334D4" w:rsidRDefault="005334D4" w:rsidP="005334D4">
      <w:pPr>
        <w:ind w:firstLine="720"/>
      </w:pPr>
      <w:r w:rsidRPr="005334D4">
        <w:t xml:space="preserve">Приведенный в АПК перечень обеспечительных мер не является исчерпывающим. Меры обеспечения иска многообразны и зависят от предмета предъявленного иска. Вместе с тем Кодекс предусматривает право принятия нескольких мер. Обеспечительные меры должны быть соразмерны заявленному требованию. </w:t>
      </w:r>
    </w:p>
    <w:p w:rsidR="005334D4" w:rsidRPr="005334D4" w:rsidRDefault="005334D4" w:rsidP="005334D4">
      <w:pPr>
        <w:ind w:firstLine="720"/>
      </w:pPr>
      <w:r w:rsidRPr="005334D4">
        <w:t>Обеспечительные меры арбитражный суд принимает по ходатайству истца - заявителя требования. Ходатайство излагается согласно ч. 1 ст. 92 Кодекса либо в отдельном заявлении одновременно с исковым заявлением как в процессе производства по делу до принятия судьей того акта, которым по существу разрешается дело, а также при предъявлении иска ходатайство может быть изложено в самом исковом заявлении. Этот вопрос решается заявителем.</w:t>
      </w:r>
    </w:p>
    <w:p w:rsidR="005334D4" w:rsidRPr="005334D4" w:rsidRDefault="005334D4" w:rsidP="005334D4">
      <w:pPr>
        <w:ind w:firstLine="720"/>
      </w:pPr>
      <w:r w:rsidRPr="005334D4">
        <w:t>Поскольку вопросы обеспечения иска должны решаться оперативно, Кодекс установил, что заявление об этом рассматривается не позднее следующего дня после дня заявления в суд. О рассмотрении заявления стороны не извещаются. Заявления рассматриваются судьей единолично.</w:t>
      </w:r>
    </w:p>
    <w:p w:rsidR="005334D4" w:rsidRPr="005334D4" w:rsidRDefault="005334D4" w:rsidP="005334D4">
      <w:pPr>
        <w:ind w:firstLine="720"/>
      </w:pPr>
      <w:r w:rsidRPr="005334D4">
        <w:t>Оперативность в рассмотрении заявления об обеспечении иска вызывается тем, что недобросовестный ответчик, узнав о предъявлении к нему иска с просьбой его обеспечения, может реализовать находящееся у него спорное имущество. Для того чтобы заявление об обеспечении иска могло быть рассмотрено в указанный выше срок, Кодекс предусмотрел и рассмотрение заявления без извещения сторон единолично судьей. Однако если ходатайство об обеспечении иска заявлено в заседании суда, то по этому вопросу все присутствующие заинтересованные лица вправе дать объяснения.</w:t>
      </w:r>
    </w:p>
    <w:p w:rsidR="005334D4" w:rsidRPr="005334D4" w:rsidRDefault="005334D4" w:rsidP="005334D4">
      <w:pPr>
        <w:ind w:firstLine="720"/>
      </w:pPr>
      <w:r w:rsidRPr="005334D4">
        <w:t>По результатам рассмотрения заявления арбитражный суд выносит определение, в котором указывается конкретная мера по обеспечению иска. В определении арбитражный суд указывает конкретную меру, обеспечивающую иск.</w:t>
      </w:r>
    </w:p>
    <w:p w:rsidR="005334D4" w:rsidRPr="005334D4" w:rsidRDefault="005334D4" w:rsidP="005334D4">
      <w:pPr>
        <w:ind w:firstLine="720"/>
      </w:pPr>
      <w:r w:rsidRPr="005334D4">
        <w:t>Если в просьбе об обеспечении иска отказано, но обстоятельства впоследствии изменились, лица, участвующие в деле, вправе заявить повторное ходатайство. Определение об обеспечении иска приводится в исполнение немедленно в порядке, установленном для исполнения решений арбитражного суда.</w:t>
      </w:r>
    </w:p>
    <w:p w:rsidR="005334D4" w:rsidRPr="005334D4" w:rsidRDefault="005334D4" w:rsidP="005334D4">
      <w:pPr>
        <w:ind w:firstLine="720"/>
      </w:pPr>
      <w:r w:rsidRPr="005334D4">
        <w:t>Определение арбитражного суда об обеспечении иска может быть обжаловано. Кодекс дает возможность обжаловать определение и об отказе обеспечить иск. Подача жалобы не приостанавливает исполнение определения суда об обеспечении иска. В этом случае рассмотрение дела продолжается, и определение об обеспечении иска исполняется на общих основаниях.</w:t>
      </w:r>
    </w:p>
    <w:p w:rsidR="005334D4" w:rsidRPr="005334D4" w:rsidRDefault="005334D4" w:rsidP="005334D4">
      <w:pPr>
        <w:ind w:firstLine="720"/>
      </w:pPr>
      <w:r w:rsidRPr="005334D4">
        <w:t>По-разному решается вопрос о направлении этого определения заинтересованным лицам: копия определения об отказе в обеспечении иска направляется лицу, обратившемуся с заявлением, копия определения об обеспечении иска направляется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 регистрацию имущества или прав на него.</w:t>
      </w:r>
    </w:p>
    <w:p w:rsidR="005334D4" w:rsidRPr="005334D4" w:rsidRDefault="005334D4" w:rsidP="005334D4">
      <w:pPr>
        <w:ind w:firstLine="720"/>
      </w:pPr>
      <w:r w:rsidRPr="005334D4">
        <w:t>В целях реального принятия обеспечительных мер ч. 1 ст. 94 Кодекса ввела новый институт - встречное обеспечение. Обеспечивая иск, арбитражный суд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w:t>
      </w:r>
    </w:p>
    <w:p w:rsidR="005334D4" w:rsidRPr="005334D4" w:rsidRDefault="005334D4" w:rsidP="005334D4">
      <w:pPr>
        <w:ind w:firstLine="720"/>
      </w:pPr>
      <w:r w:rsidRPr="005334D4">
        <w:t>Встречное обеспечение производится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w:t>
      </w:r>
    </w:p>
    <w:p w:rsidR="005334D4" w:rsidRPr="005334D4" w:rsidRDefault="005334D4" w:rsidP="005334D4">
      <w:pPr>
        <w:ind w:firstLine="720"/>
      </w:pPr>
      <w:r w:rsidRPr="005334D4">
        <w:t>Представляется практически важным предусмотренное в ч. 1 ст. 94 Кодекса правило, согласно которому размер встречного обеспечения не может быть менее половины размера имущественных требований.</w:t>
      </w:r>
    </w:p>
    <w:p w:rsidR="005334D4" w:rsidRPr="005334D4" w:rsidRDefault="005334D4" w:rsidP="005334D4">
      <w:pPr>
        <w:ind w:firstLine="720"/>
      </w:pPr>
      <w:r w:rsidRPr="005334D4">
        <w:t>По заявлению лиц, участвующих в деле, арбитражный суд может заменить один вид обеспечения иска другим. При этом следует использовать не только те меры обеспечения иска, которые перечислены Кодексом, но и другие меры, установленные арбитражным судом.</w:t>
      </w:r>
    </w:p>
    <w:p w:rsidR="005334D4" w:rsidRDefault="005334D4" w:rsidP="005334D4">
      <w:pPr>
        <w:ind w:firstLine="720"/>
      </w:pPr>
      <w:r w:rsidRPr="005334D4">
        <w:t>Замена одного вида обеспечения иска другим производится, в частности, в случаях, когда ранее установленная мера не защищает прав истца и не может гарантировать исполнение решения либо когда эта мера неоправданно ущемляет права ответчика. О замене одного вида обеспечения иска другим выносится определение, которое может быть обжаловано.</w:t>
      </w:r>
    </w:p>
    <w:p w:rsidR="005334D4" w:rsidRPr="005334D4" w:rsidRDefault="005334D4" w:rsidP="005334D4">
      <w:pPr>
        <w:ind w:firstLine="720"/>
        <w:jc w:val="center"/>
        <w:rPr>
          <w:b/>
        </w:rPr>
      </w:pPr>
      <w:r>
        <w:br w:type="page"/>
      </w:r>
      <w:r w:rsidRPr="005334D4">
        <w:rPr>
          <w:b/>
        </w:rPr>
        <w:t>Библиографический список литературы</w:t>
      </w:r>
    </w:p>
    <w:p w:rsidR="005334D4" w:rsidRPr="005334D4" w:rsidRDefault="005334D4" w:rsidP="005334D4">
      <w:pPr>
        <w:ind w:firstLine="720"/>
      </w:pPr>
    </w:p>
    <w:p w:rsidR="005334D4" w:rsidRPr="005334D4" w:rsidRDefault="005334D4" w:rsidP="005334D4">
      <w:pPr>
        <w:numPr>
          <w:ilvl w:val="0"/>
          <w:numId w:val="3"/>
        </w:numPr>
        <w:ind w:left="0" w:firstLine="720"/>
      </w:pPr>
      <w:r w:rsidRPr="005334D4">
        <w:t xml:space="preserve">Арбитражный процессуальный кодекс Российской Федерации. Федеральный закон от 24 июля 2002 года № 95-ФЗ (в ред. Федерального закона </w:t>
      </w:r>
      <w:r w:rsidRPr="00FA0788">
        <w:t>от 31.03.2005 N 25-ФЗ</w:t>
      </w:r>
      <w:r w:rsidRPr="005334D4">
        <w:t xml:space="preserve">. </w:t>
      </w:r>
    </w:p>
    <w:p w:rsidR="005334D4" w:rsidRPr="005334D4" w:rsidRDefault="005334D4" w:rsidP="005334D4">
      <w:pPr>
        <w:numPr>
          <w:ilvl w:val="0"/>
          <w:numId w:val="3"/>
        </w:numPr>
        <w:ind w:left="0" w:firstLine="720"/>
      </w:pPr>
      <w:r w:rsidRPr="005334D4">
        <w:t xml:space="preserve">Постановление Пленума ВАС РФ от 31.10.1996 N 13 "О применении   арбитражного  процессуального  кодекса  РФ при рассмотрении дел в суде первой инстанции". </w:t>
      </w:r>
    </w:p>
    <w:p w:rsidR="005334D4" w:rsidRPr="005334D4" w:rsidRDefault="005334D4" w:rsidP="005334D4">
      <w:pPr>
        <w:numPr>
          <w:ilvl w:val="0"/>
          <w:numId w:val="3"/>
        </w:numPr>
        <w:ind w:left="0" w:firstLine="720"/>
      </w:pPr>
      <w:r w:rsidRPr="005334D4">
        <w:rPr>
          <w:rFonts w:cs="Courier New"/>
        </w:rPr>
        <w:t>Арбитражный процесс: Учебник / Под ред. В.В. Яркова. - М., 2000 - 480с.</w:t>
      </w:r>
    </w:p>
    <w:p w:rsidR="005334D4" w:rsidRPr="005334D4" w:rsidRDefault="005334D4" w:rsidP="005334D4">
      <w:pPr>
        <w:numPr>
          <w:ilvl w:val="0"/>
          <w:numId w:val="3"/>
        </w:numPr>
        <w:ind w:left="0" w:firstLine="720"/>
        <w:rPr>
          <w:szCs w:val="24"/>
        </w:rPr>
      </w:pPr>
      <w:r w:rsidRPr="005334D4">
        <w:t>Арбитражный процесс: Учебник для юридических вузов и  факультетов / Под ред. п</w:t>
      </w:r>
      <w:r w:rsidRPr="005334D4">
        <w:rPr>
          <w:rFonts w:cs="Courier New"/>
        </w:rPr>
        <w:t>роф. М.К. Треушникова и проф. В.М. Шерстюка. - М., 2000 - 480с.</w:t>
      </w:r>
    </w:p>
    <w:p w:rsidR="005334D4" w:rsidRPr="005334D4" w:rsidRDefault="005334D4" w:rsidP="005334D4">
      <w:pPr>
        <w:numPr>
          <w:ilvl w:val="0"/>
          <w:numId w:val="3"/>
        </w:numPr>
        <w:ind w:left="0" w:firstLine="720"/>
      </w:pPr>
      <w:r w:rsidRPr="005334D4">
        <w:t>Зайцев А.И., Кузнецов К.В., Савельева Т.А. Негосударственные процедуры урегулирования правовых поров. - Саратов, 2000. С. 38.</w:t>
      </w:r>
    </w:p>
    <w:p w:rsidR="005334D4" w:rsidRPr="005334D4" w:rsidRDefault="005334D4" w:rsidP="005334D4">
      <w:pPr>
        <w:numPr>
          <w:ilvl w:val="0"/>
          <w:numId w:val="3"/>
        </w:numPr>
        <w:ind w:left="0" w:firstLine="720"/>
      </w:pPr>
      <w:r w:rsidRPr="005334D4">
        <w:t xml:space="preserve">Комментарий к Арбитражному процессуальному кодексу Российской Федерации. // Под ред. Яковлева В.Ф., Юкова М.К.- М.: Изд-во «Городец», 2003. </w:t>
      </w:r>
    </w:p>
    <w:p w:rsidR="005334D4" w:rsidRPr="005334D4" w:rsidRDefault="005334D4" w:rsidP="005334D4">
      <w:pPr>
        <w:numPr>
          <w:ilvl w:val="0"/>
          <w:numId w:val="3"/>
        </w:numPr>
        <w:ind w:left="0" w:firstLine="720"/>
      </w:pPr>
      <w:r w:rsidRPr="005334D4">
        <w:t xml:space="preserve">Справочник по арбитражному процессу / Под обшей ред. В.В. Антонова. М., 1999. </w:t>
      </w:r>
      <w:bookmarkStart w:id="0" w:name="_GoBack"/>
      <w:bookmarkEnd w:id="0"/>
    </w:p>
    <w:sectPr w:rsidR="005334D4" w:rsidRPr="005334D4" w:rsidSect="005334D4">
      <w:headerReference w:type="even" r:id="rId7"/>
      <w:headerReference w:type="default" r:id="rId8"/>
      <w:pgSz w:w="11906" w:h="16838" w:code="9"/>
      <w:pgMar w:top="1134" w:right="851" w:bottom="1134" w:left="1701" w:header="51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C4" w:rsidRDefault="005B66C4">
      <w:r>
        <w:separator/>
      </w:r>
    </w:p>
  </w:endnote>
  <w:endnote w:type="continuationSeparator" w:id="0">
    <w:p w:rsidR="005B66C4" w:rsidRDefault="005B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C4" w:rsidRDefault="005B66C4">
      <w:r>
        <w:separator/>
      </w:r>
    </w:p>
  </w:footnote>
  <w:footnote w:type="continuationSeparator" w:id="0">
    <w:p w:rsidR="005B66C4" w:rsidRDefault="005B66C4">
      <w:r>
        <w:continuationSeparator/>
      </w:r>
    </w:p>
  </w:footnote>
  <w:footnote w:id="1">
    <w:p w:rsidR="005B66C4" w:rsidRDefault="005334D4">
      <w:pPr>
        <w:pStyle w:val="aa"/>
        <w:spacing w:line="240" w:lineRule="auto"/>
      </w:pPr>
      <w:r>
        <w:rPr>
          <w:rStyle w:val="ac"/>
        </w:rPr>
        <w:footnoteRef/>
      </w:r>
      <w:r>
        <w:t xml:space="preserve"> Зайцев А.И., Кузнецов К.В., Савельева Т.А. Негосударственные процедуры урегулирования правовых поров. Саратов, 2000. С. 38.</w:t>
      </w:r>
    </w:p>
  </w:footnote>
  <w:footnote w:id="2">
    <w:p w:rsidR="005B66C4" w:rsidRDefault="005334D4">
      <w:pPr>
        <w:pStyle w:val="aa"/>
      </w:pPr>
      <w:r>
        <w:rPr>
          <w:rStyle w:val="ac"/>
        </w:rPr>
        <w:footnoteRef/>
      </w:r>
      <w:r>
        <w:t xml:space="preserve"> Справочник по арбитражному процессу / Под обшей ред. В.В. Антонова. М., 1999. С. 61 - 120.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D4" w:rsidRDefault="005334D4">
    <w:pPr>
      <w:pStyle w:val="af3"/>
      <w:framePr w:wrap="around" w:vAnchor="text" w:hAnchor="margin" w:xAlign="right" w:y="1"/>
      <w:rPr>
        <w:rStyle w:val="af"/>
      </w:rPr>
    </w:pPr>
  </w:p>
  <w:p w:rsidR="005334D4" w:rsidRDefault="005334D4">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D4" w:rsidRDefault="00FA0788">
    <w:pPr>
      <w:pStyle w:val="af3"/>
      <w:framePr w:wrap="around" w:vAnchor="text" w:hAnchor="margin" w:xAlign="right" w:y="1"/>
      <w:rPr>
        <w:rStyle w:val="af"/>
      </w:rPr>
    </w:pPr>
    <w:r>
      <w:rPr>
        <w:rStyle w:val="af"/>
        <w:noProof/>
      </w:rPr>
      <w:t>2</w:t>
    </w:r>
  </w:p>
  <w:p w:rsidR="005334D4" w:rsidRDefault="005334D4">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5D9"/>
    <w:multiLevelType w:val="hybridMultilevel"/>
    <w:tmpl w:val="B08C6A7A"/>
    <w:lvl w:ilvl="0" w:tplc="76A64C9A">
      <w:start w:val="1"/>
      <w:numFmt w:val="decimal"/>
      <w:lvlText w:val="%1."/>
      <w:lvlJc w:val="left"/>
      <w:pPr>
        <w:tabs>
          <w:tab w:val="num" w:pos="473"/>
        </w:tabs>
        <w:ind w:left="57" w:firstLine="56"/>
      </w:pPr>
      <w:rPr>
        <w:rFonts w:cs="Times New Roman" w:hint="default"/>
      </w:rPr>
    </w:lvl>
    <w:lvl w:ilvl="1" w:tplc="04190019" w:tentative="1">
      <w:start w:val="1"/>
      <w:numFmt w:val="lowerLetter"/>
      <w:lvlText w:val="%2."/>
      <w:lvlJc w:val="left"/>
      <w:pPr>
        <w:tabs>
          <w:tab w:val="num" w:pos="816"/>
        </w:tabs>
        <w:ind w:left="816" w:hanging="360"/>
      </w:pPr>
      <w:rPr>
        <w:rFonts w:cs="Times New Roman"/>
      </w:rPr>
    </w:lvl>
    <w:lvl w:ilvl="2" w:tplc="0419001B" w:tentative="1">
      <w:start w:val="1"/>
      <w:numFmt w:val="lowerRoman"/>
      <w:lvlText w:val="%3."/>
      <w:lvlJc w:val="right"/>
      <w:pPr>
        <w:tabs>
          <w:tab w:val="num" w:pos="1536"/>
        </w:tabs>
        <w:ind w:left="1536" w:hanging="180"/>
      </w:pPr>
      <w:rPr>
        <w:rFonts w:cs="Times New Roman"/>
      </w:rPr>
    </w:lvl>
    <w:lvl w:ilvl="3" w:tplc="0419000F" w:tentative="1">
      <w:start w:val="1"/>
      <w:numFmt w:val="decimal"/>
      <w:lvlText w:val="%4."/>
      <w:lvlJc w:val="left"/>
      <w:pPr>
        <w:tabs>
          <w:tab w:val="num" w:pos="2256"/>
        </w:tabs>
        <w:ind w:left="2256" w:hanging="360"/>
      </w:pPr>
      <w:rPr>
        <w:rFonts w:cs="Times New Roman"/>
      </w:rPr>
    </w:lvl>
    <w:lvl w:ilvl="4" w:tplc="04190019" w:tentative="1">
      <w:start w:val="1"/>
      <w:numFmt w:val="lowerLetter"/>
      <w:lvlText w:val="%5."/>
      <w:lvlJc w:val="left"/>
      <w:pPr>
        <w:tabs>
          <w:tab w:val="num" w:pos="2976"/>
        </w:tabs>
        <w:ind w:left="2976" w:hanging="360"/>
      </w:pPr>
      <w:rPr>
        <w:rFonts w:cs="Times New Roman"/>
      </w:rPr>
    </w:lvl>
    <w:lvl w:ilvl="5" w:tplc="0419001B" w:tentative="1">
      <w:start w:val="1"/>
      <w:numFmt w:val="lowerRoman"/>
      <w:lvlText w:val="%6."/>
      <w:lvlJc w:val="right"/>
      <w:pPr>
        <w:tabs>
          <w:tab w:val="num" w:pos="3696"/>
        </w:tabs>
        <w:ind w:left="3696" w:hanging="180"/>
      </w:pPr>
      <w:rPr>
        <w:rFonts w:cs="Times New Roman"/>
      </w:rPr>
    </w:lvl>
    <w:lvl w:ilvl="6" w:tplc="0419000F" w:tentative="1">
      <w:start w:val="1"/>
      <w:numFmt w:val="decimal"/>
      <w:lvlText w:val="%7."/>
      <w:lvlJc w:val="left"/>
      <w:pPr>
        <w:tabs>
          <w:tab w:val="num" w:pos="4416"/>
        </w:tabs>
        <w:ind w:left="4416" w:hanging="360"/>
      </w:pPr>
      <w:rPr>
        <w:rFonts w:cs="Times New Roman"/>
      </w:rPr>
    </w:lvl>
    <w:lvl w:ilvl="7" w:tplc="04190019" w:tentative="1">
      <w:start w:val="1"/>
      <w:numFmt w:val="lowerLetter"/>
      <w:lvlText w:val="%8."/>
      <w:lvlJc w:val="left"/>
      <w:pPr>
        <w:tabs>
          <w:tab w:val="num" w:pos="5136"/>
        </w:tabs>
        <w:ind w:left="5136" w:hanging="360"/>
      </w:pPr>
      <w:rPr>
        <w:rFonts w:cs="Times New Roman"/>
      </w:rPr>
    </w:lvl>
    <w:lvl w:ilvl="8" w:tplc="0419001B" w:tentative="1">
      <w:start w:val="1"/>
      <w:numFmt w:val="lowerRoman"/>
      <w:lvlText w:val="%9."/>
      <w:lvlJc w:val="right"/>
      <w:pPr>
        <w:tabs>
          <w:tab w:val="num" w:pos="5856"/>
        </w:tabs>
        <w:ind w:left="5856" w:hanging="180"/>
      </w:pPr>
      <w:rPr>
        <w:rFonts w:cs="Times New Roman"/>
      </w:rPr>
    </w:lvl>
  </w:abstractNum>
  <w:abstractNum w:abstractNumId="1">
    <w:nsid w:val="1DD812B7"/>
    <w:multiLevelType w:val="hybridMultilevel"/>
    <w:tmpl w:val="3E0A8AB4"/>
    <w:lvl w:ilvl="0" w:tplc="A2E6BA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3A306F"/>
    <w:multiLevelType w:val="hybridMultilevel"/>
    <w:tmpl w:val="FFFC263A"/>
    <w:lvl w:ilvl="0" w:tplc="A2E6BA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D4"/>
    <w:rsid w:val="004A4C2D"/>
    <w:rsid w:val="005334D4"/>
    <w:rsid w:val="005932C9"/>
    <w:rsid w:val="005B66C4"/>
    <w:rsid w:val="00FA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067292-7B16-4F16-98B3-40E83AD5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character" w:styleId="af0">
    <w:name w:val="Emphasis"/>
    <w:uiPriority w:val="99"/>
    <w:qFormat/>
    <w:rPr>
      <w:rFonts w:cs="Times New Roman"/>
      <w:i/>
      <w:iCs/>
    </w:rPr>
  </w:style>
  <w:style w:type="paragraph" w:styleId="af1">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character" w:styleId="af2">
    <w:name w:val="Hyperlink"/>
    <w:uiPriority w:val="99"/>
    <w:rPr>
      <w:rFonts w:cs="Times New Roman"/>
      <w:color w:val="0000FF"/>
      <w:u w:val="single"/>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link w:val="af3"/>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2014-03-06T17:32:00Z</dcterms:created>
  <dcterms:modified xsi:type="dcterms:W3CDTF">2014-03-06T17:32:00Z</dcterms:modified>
</cp:coreProperties>
</file>