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90" w:rsidRPr="00444C01" w:rsidRDefault="00C75250" w:rsidP="00C75250">
      <w:pPr>
        <w:widowControl w:val="0"/>
        <w:suppressAutoHyphens/>
        <w:rPr>
          <w:lang w:val="en-US"/>
        </w:rPr>
      </w:pPr>
      <w:r w:rsidRPr="00444C01">
        <w:t>Оглавление</w:t>
      </w:r>
    </w:p>
    <w:p w:rsidR="006C4790" w:rsidRPr="00444C01" w:rsidRDefault="006C4790" w:rsidP="00C75250">
      <w:pPr>
        <w:widowControl w:val="0"/>
        <w:suppressAutoHyphens/>
      </w:pPr>
    </w:p>
    <w:p w:rsidR="006C4790" w:rsidRPr="00444C01" w:rsidRDefault="00C75250" w:rsidP="00C75250">
      <w:pPr>
        <w:pStyle w:val="a3"/>
        <w:widowControl w:val="0"/>
        <w:numPr>
          <w:ilvl w:val="0"/>
          <w:numId w:val="4"/>
        </w:numPr>
        <w:tabs>
          <w:tab w:val="left" w:pos="426"/>
        </w:tabs>
        <w:suppressAutoHyphens/>
        <w:ind w:left="0" w:firstLine="0"/>
        <w:jc w:val="left"/>
      </w:pPr>
      <w:r w:rsidRPr="00444C01">
        <w:t>Предпосылки</w:t>
      </w:r>
    </w:p>
    <w:p w:rsidR="006C4790" w:rsidRPr="00444C01" w:rsidRDefault="006C4790" w:rsidP="00C75250">
      <w:pPr>
        <w:pStyle w:val="a3"/>
        <w:widowControl w:val="0"/>
        <w:numPr>
          <w:ilvl w:val="0"/>
          <w:numId w:val="4"/>
        </w:numPr>
        <w:tabs>
          <w:tab w:val="left" w:pos="426"/>
        </w:tabs>
        <w:suppressAutoHyphens/>
        <w:ind w:left="0" w:firstLine="0"/>
        <w:jc w:val="left"/>
      </w:pPr>
      <w:r w:rsidRPr="00444C01">
        <w:t>Договор 1919 го</w:t>
      </w:r>
      <w:r w:rsidR="00C75250" w:rsidRPr="00444C01">
        <w:t>да и возмущение общественности</w:t>
      </w:r>
    </w:p>
    <w:p w:rsidR="006C4790" w:rsidRPr="00444C01" w:rsidRDefault="00C75250" w:rsidP="00C75250">
      <w:pPr>
        <w:pStyle w:val="a3"/>
        <w:widowControl w:val="0"/>
        <w:numPr>
          <w:ilvl w:val="0"/>
          <w:numId w:val="4"/>
        </w:numPr>
        <w:tabs>
          <w:tab w:val="left" w:pos="426"/>
        </w:tabs>
        <w:suppressAutoHyphens/>
        <w:ind w:left="0" w:firstLine="0"/>
        <w:jc w:val="left"/>
      </w:pPr>
      <w:r w:rsidRPr="00444C01">
        <w:t>Начало восстания</w:t>
      </w:r>
    </w:p>
    <w:p w:rsidR="006C4790" w:rsidRPr="00444C01" w:rsidRDefault="00C75250" w:rsidP="00C75250">
      <w:pPr>
        <w:pStyle w:val="a3"/>
        <w:widowControl w:val="0"/>
        <w:numPr>
          <w:ilvl w:val="0"/>
          <w:numId w:val="4"/>
        </w:numPr>
        <w:tabs>
          <w:tab w:val="left" w:pos="426"/>
        </w:tabs>
        <w:suppressAutoHyphens/>
        <w:ind w:left="0" w:firstLine="0"/>
        <w:jc w:val="left"/>
      </w:pPr>
      <w:r w:rsidRPr="00444C01">
        <w:t>Создание нового правительства</w:t>
      </w:r>
    </w:p>
    <w:p w:rsidR="006C4790" w:rsidRPr="00444C01" w:rsidRDefault="006C4790" w:rsidP="00C75250">
      <w:pPr>
        <w:pStyle w:val="a3"/>
        <w:widowControl w:val="0"/>
        <w:numPr>
          <w:ilvl w:val="0"/>
          <w:numId w:val="4"/>
        </w:numPr>
        <w:tabs>
          <w:tab w:val="left" w:pos="426"/>
        </w:tabs>
        <w:suppressAutoHyphens/>
        <w:ind w:left="0" w:firstLine="0"/>
        <w:jc w:val="left"/>
      </w:pPr>
      <w:r w:rsidRPr="00444C01">
        <w:t>Аннулир</w:t>
      </w:r>
      <w:r w:rsidR="00C75250" w:rsidRPr="00444C01">
        <w:t>ование англо-иранского договора</w:t>
      </w:r>
    </w:p>
    <w:p w:rsidR="006C4790" w:rsidRPr="00444C01" w:rsidRDefault="00C75250" w:rsidP="00C75250">
      <w:pPr>
        <w:pStyle w:val="a4"/>
        <w:widowControl w:val="0"/>
        <w:numPr>
          <w:ilvl w:val="0"/>
          <w:numId w:val="4"/>
        </w:numPr>
        <w:tabs>
          <w:tab w:val="left" w:pos="426"/>
        </w:tabs>
        <w:suppressAutoHyphens/>
        <w:spacing w:line="360" w:lineRule="auto"/>
        <w:ind w:left="0" w:firstLine="0"/>
        <w:jc w:val="left"/>
        <w:rPr>
          <w:sz w:val="28"/>
          <w:szCs w:val="28"/>
        </w:rPr>
      </w:pPr>
      <w:r w:rsidRPr="00444C01">
        <w:rPr>
          <w:sz w:val="28"/>
          <w:szCs w:val="28"/>
        </w:rPr>
        <w:t>Список литературы</w:t>
      </w:r>
    </w:p>
    <w:p w:rsidR="00C75250" w:rsidRPr="00444C01" w:rsidRDefault="00C75250" w:rsidP="00C75250">
      <w:pPr>
        <w:pStyle w:val="a4"/>
        <w:widowControl w:val="0"/>
        <w:suppressAutoHyphens/>
        <w:spacing w:line="360" w:lineRule="auto"/>
        <w:rPr>
          <w:sz w:val="28"/>
          <w:szCs w:val="28"/>
        </w:rPr>
      </w:pPr>
    </w:p>
    <w:p w:rsidR="006C4790" w:rsidRPr="00444C01" w:rsidRDefault="006C4790" w:rsidP="00C75250">
      <w:pPr>
        <w:pStyle w:val="a3"/>
        <w:widowControl w:val="0"/>
        <w:numPr>
          <w:ilvl w:val="0"/>
          <w:numId w:val="4"/>
        </w:numPr>
        <w:suppressAutoHyphens/>
        <w:ind w:left="0" w:firstLine="709"/>
      </w:pPr>
      <w:r w:rsidRPr="00444C01">
        <w:br w:type="page"/>
      </w:r>
    </w:p>
    <w:p w:rsidR="007948DE" w:rsidRPr="00444C01" w:rsidRDefault="00C75250" w:rsidP="00C75250">
      <w:pPr>
        <w:widowControl w:val="0"/>
        <w:suppressAutoHyphens/>
        <w:rPr>
          <w:lang w:val="en-US"/>
        </w:rPr>
      </w:pPr>
      <w:r w:rsidRPr="00444C01">
        <w:t>1.</w:t>
      </w:r>
      <w:r w:rsidRPr="00444C01">
        <w:rPr>
          <w:lang w:val="en-US"/>
        </w:rPr>
        <w:t xml:space="preserve"> </w:t>
      </w:r>
      <w:r w:rsidRPr="00444C01">
        <w:t>Предпосылки</w:t>
      </w:r>
    </w:p>
    <w:p w:rsidR="006F18DD" w:rsidRPr="00444C01" w:rsidRDefault="006F18DD" w:rsidP="00C75250">
      <w:pPr>
        <w:widowControl w:val="0"/>
        <w:suppressAutoHyphens/>
      </w:pPr>
    </w:p>
    <w:p w:rsidR="006F18DD" w:rsidRPr="00444C01" w:rsidRDefault="006F18DD" w:rsidP="00C75250">
      <w:pPr>
        <w:pStyle w:val="a3"/>
        <w:widowControl w:val="0"/>
        <w:suppressAutoHyphens/>
        <w:ind w:left="0"/>
      </w:pPr>
      <w:r w:rsidRPr="00444C01">
        <w:t>К концу первой мировой войны британские либеральные деятели выступали за проведение в Персии более гибкой политики и за отказ от прямого имперского курса. Однако бывший вице-король Индии Керзон, став министром иностранных дел, не желал считаться с велением времени и вынашивал идею установления над Персией британского протектората. Керзон считал, что уход с персидской арены царской России создал реальные предпосылки для осуществления такого плана.</w:t>
      </w:r>
    </w:p>
    <w:p w:rsidR="006F18DD" w:rsidRPr="00444C01" w:rsidRDefault="006F18DD" w:rsidP="00C75250">
      <w:pPr>
        <w:pStyle w:val="a3"/>
        <w:widowControl w:val="0"/>
        <w:suppressAutoHyphens/>
        <w:ind w:left="0"/>
      </w:pPr>
      <w:r w:rsidRPr="00444C01">
        <w:t>Свою внешнеполитическую концепцию Керзон обосновал в мемо</w:t>
      </w:r>
      <w:r w:rsidR="00C75250" w:rsidRPr="00444C01">
        <w:t>рандуме, составленном в 1918 г.</w:t>
      </w:r>
      <w:r w:rsidRPr="00444C01">
        <w:t xml:space="preserve"> Он был осведомлен о масштабах влияния идей новой русской революции на персов, что вызывало у него тревогу. Он писал: </w:t>
      </w:r>
      <w:r w:rsidR="00C75250" w:rsidRPr="00444C01">
        <w:t>"</w:t>
      </w:r>
      <w:r w:rsidRPr="00444C01">
        <w:t>…если Персия будет оставлена одна, имеется много причин опасаться того, что она подвергнется большевистскому влиянию с севера</w:t>
      </w:r>
      <w:r w:rsidR="00C75250" w:rsidRPr="00444C01">
        <w:t>".</w:t>
      </w:r>
    </w:p>
    <w:p w:rsidR="00C75250" w:rsidRPr="00444C01" w:rsidRDefault="006F18DD" w:rsidP="00C75250">
      <w:pPr>
        <w:pStyle w:val="a3"/>
        <w:widowControl w:val="0"/>
        <w:suppressAutoHyphens/>
        <w:ind w:left="0"/>
      </w:pPr>
      <w:r w:rsidRPr="00444C01">
        <w:t>Дальнейшее развитие событий в значительной степени подтвердило прогнозы Керзона.</w:t>
      </w:r>
    </w:p>
    <w:p w:rsidR="006F18DD" w:rsidRPr="00444C01" w:rsidRDefault="006F18DD" w:rsidP="00C75250">
      <w:pPr>
        <w:pStyle w:val="a3"/>
        <w:widowControl w:val="0"/>
        <w:suppressAutoHyphens/>
        <w:ind w:left="0"/>
      </w:pPr>
      <w:r w:rsidRPr="00444C01">
        <w:t>Добиваясь реализации разработанного им плана, британские дипломаты приложили немало усилий, чтобы у власти в Тегеране вновь оказался Восуг од-Доуле. Еще в мае 1918 г. британский посланник Ч. Марлинг приступил к тайным переговорам с шахским двором, обещая в случае смещения Самсам ос-Салтане и министров его кабинета и назначения на пост премьер-министра Восуга од-Доуле выплачивать ежемесячно Ахмед-шаху Каджару субсидию в размере 15 тыс. туманов.</w:t>
      </w:r>
    </w:p>
    <w:p w:rsidR="006F18DD" w:rsidRPr="00444C01" w:rsidRDefault="006F18DD" w:rsidP="00C75250">
      <w:pPr>
        <w:pStyle w:val="a3"/>
        <w:widowControl w:val="0"/>
        <w:suppressAutoHyphens/>
        <w:ind w:left="0"/>
      </w:pPr>
      <w:r w:rsidRPr="00444C01">
        <w:t>Для подавления национально-освободительного движения, превращения Персии в колонию и плацдарм для интервенции против Советской России британские империалисты оккупировали в 1918 г. всю страну. Под контролем британцев 6 августа 1918 г. было сформировано правительство Восуг од-Доуле. Великобритания навязала ему в 1919 г. кабальное соглашение, по которому получила право реорганизовать персидскую армию, направлять своих советников в государственные учреждения Персии и др.</w:t>
      </w:r>
    </w:p>
    <w:p w:rsidR="006F18DD" w:rsidRPr="00444C01" w:rsidRDefault="006F18DD" w:rsidP="00C75250">
      <w:pPr>
        <w:pStyle w:val="a3"/>
        <w:widowControl w:val="0"/>
        <w:suppressAutoHyphens/>
        <w:ind w:left="0"/>
      </w:pPr>
      <w:r w:rsidRPr="00444C01">
        <w:t>Правительство Восуг од-Доуле проводило враждебную в отношении Советской республики политику. При его попустительстве 3 ноября 1918 г. была разгромлена советская миссия в Тегеране, а в августе 1919 г. вблизи персидского порта Бендер-Гез белогвардейцами совершено убийство советского полпреда И.О. Коломийцева.</w:t>
      </w:r>
    </w:p>
    <w:p w:rsidR="00C75250" w:rsidRPr="00444C01" w:rsidRDefault="006F18DD" w:rsidP="00C75250">
      <w:pPr>
        <w:widowControl w:val="0"/>
        <w:suppressAutoHyphens/>
      </w:pPr>
      <w:r w:rsidRPr="00444C01">
        <w:t xml:space="preserve">В 1919 г. Великобритания навязала Ирану </w:t>
      </w:r>
      <w:r w:rsidR="00C75250" w:rsidRPr="00444C01">
        <w:t>"</w:t>
      </w:r>
      <w:r w:rsidRPr="00444C01">
        <w:t>Соглашение о британской помощи для оказания содействия прогрессу и благополучия Персии</w:t>
      </w:r>
      <w:r w:rsidR="00C75250" w:rsidRPr="00444C01">
        <w:t>"</w:t>
      </w:r>
      <w:r w:rsidRPr="00444C01">
        <w:t>. Соглашение предусматривало направление английских советников в иранские министерства и ведомства, реорганизацию иранской армии под контролем британских офицеров и ее переоснащение британским оружием. На эти цели предлагалось выделить Тегерану британский заем при условии установления контроля Лондона над иранскими финансами. Под британским управлением оказались также дорожное строительство и таможенная политика Ирана. Иранский меджлис отказался утвердить представленное ему соглашение, но по настоянию британской стороны оно стало осуществляться без утверждения.</w:t>
      </w:r>
    </w:p>
    <w:p w:rsidR="00C75250" w:rsidRPr="00616CCD" w:rsidRDefault="00C75250" w:rsidP="00C75250">
      <w:pPr>
        <w:pStyle w:val="a3"/>
        <w:widowControl w:val="0"/>
        <w:suppressAutoHyphens/>
        <w:ind w:left="0"/>
      </w:pPr>
      <w:r w:rsidRPr="00444C01">
        <w:t>"</w:t>
      </w:r>
      <w:r w:rsidR="006F18DD" w:rsidRPr="00444C01">
        <w:t xml:space="preserve">Сообщение о заключении соглашения вызвало бурю протестов в политических кругах Тегерана. Резко осудили соглашение представители тегеранского базара — главного экономического центра страны. Влиятельный представитель торгового капитала Моин от-Тоджджар и Имам-джоме (имам главной мечети Тегерана) заявили, что соглашение направлено </w:t>
      </w:r>
      <w:r w:rsidRPr="00444C01">
        <w:t>"</w:t>
      </w:r>
      <w:r w:rsidR="006F18DD" w:rsidRPr="00444C01">
        <w:t>против интересов страны</w:t>
      </w:r>
      <w:r w:rsidRPr="00444C01">
        <w:t>"</w:t>
      </w:r>
      <w:r w:rsidR="006F18DD" w:rsidRPr="00444C01">
        <w:t>. Они охарактеризовали его как серьезную угрозу независимости Ирана</w:t>
      </w:r>
      <w:r w:rsidRPr="00444C01">
        <w:t>"</w:t>
      </w:r>
      <w:r w:rsidR="001C4C73" w:rsidRPr="00616CCD">
        <w:t>.</w:t>
      </w:r>
    </w:p>
    <w:p w:rsidR="00C75250" w:rsidRPr="00444C01" w:rsidRDefault="006F18DD" w:rsidP="00C75250">
      <w:pPr>
        <w:widowControl w:val="0"/>
        <w:suppressAutoHyphens/>
      </w:pPr>
      <w:r w:rsidRPr="00444C01">
        <w:t>Вызывающие действия британских властей в Иране стали причиной раздражения в иранском обществе в отношении как Великобритании, так и самого шахского правительства. На общее антибританское брожение в Иране накладывались начавшиеся выступления национальных меньшинств в иранских провинциях. В этой обстановке 20 мая 1920 г. иранское правительство пошло на установление дипломатических отношений с Москвой. Советская Россия получила возможность укрепить свое влияние на Тегеран.</w:t>
      </w:r>
    </w:p>
    <w:p w:rsidR="006F18DD" w:rsidRPr="00444C01" w:rsidRDefault="006F18DD" w:rsidP="00C75250">
      <w:pPr>
        <w:widowControl w:val="0"/>
        <w:suppressAutoHyphens/>
      </w:pPr>
      <w:r w:rsidRPr="00444C01">
        <w:t xml:space="preserve">Лорд Керзон всемерно добивался отказа иранского руководства от установления официальных отношений с Москвой… Находившийся в Лондоне министр иностранных дел Ирана Носрет од-Доуле Фируз-мирза, в беседе с корреспондентом газеты </w:t>
      </w:r>
      <w:r w:rsidR="00C75250" w:rsidRPr="00444C01">
        <w:t>"</w:t>
      </w:r>
      <w:r w:rsidRPr="00444C01">
        <w:t>Таймс</w:t>
      </w:r>
      <w:r w:rsidR="00C75250" w:rsidRPr="00444C01">
        <w:t>"</w:t>
      </w:r>
      <w:r w:rsidRPr="00444C01">
        <w:t>, текст которой был опубликован 6 апреля 1920 г., положительно отозвался о действиях правительства Советской России. Он подчеркивал большое значение для Ирана аннулирования Москвой неравноправных договоров и соглашений, заключенных между царской Россией и Ираном. Лорд Керзон во время встречи с Фируз-мирзой оказал на него открытое давление, чтобы склонить иранское правительство к отказу от идеи установления официальных отношений с советским правительством.</w:t>
      </w:r>
    </w:p>
    <w:p w:rsidR="00C75250" w:rsidRPr="00444C01" w:rsidRDefault="006F18DD" w:rsidP="00C75250">
      <w:pPr>
        <w:widowControl w:val="0"/>
        <w:suppressAutoHyphens/>
      </w:pPr>
      <w:r w:rsidRPr="00444C01">
        <w:t xml:space="preserve">Недовольство шахским правительством и Великобританией одновременно вылилось в общее неприятие большей частью новой иранской национально-патриотически настроенной и </w:t>
      </w:r>
      <w:r w:rsidR="00C75250" w:rsidRPr="00444C01">
        <w:t>"</w:t>
      </w:r>
      <w:r w:rsidRPr="00444C01">
        <w:t>обуржуазенной</w:t>
      </w:r>
      <w:r w:rsidR="00C75250" w:rsidRPr="00444C01">
        <w:t>"</w:t>
      </w:r>
      <w:r w:rsidRPr="00444C01">
        <w:t xml:space="preserve"> элиты патриархально-консервативным правлением династии Каджаров.</w:t>
      </w:r>
    </w:p>
    <w:p w:rsidR="006F18DD" w:rsidRPr="00444C01" w:rsidRDefault="006F18DD" w:rsidP="00C75250">
      <w:pPr>
        <w:pStyle w:val="a3"/>
        <w:widowControl w:val="0"/>
        <w:suppressAutoHyphens/>
        <w:ind w:left="0"/>
      </w:pPr>
      <w:r w:rsidRPr="00444C01">
        <w:t xml:space="preserve">Стремление Великобритании установить свой протекторат над Персией вызвало недовольство ее союзника — Франции. Заключение соглашения 1919 г. обострило англо-французское соперничество на Ближнем и Среднем Востоке. Открыто враждебной была и позиция правительства США, с которым в этот период Тегеран стремился установить дружеские контакты. Более радикальную позицию заняло советское руководство. В специальном обращении </w:t>
      </w:r>
      <w:r w:rsidR="00C75250" w:rsidRPr="00444C01">
        <w:t>"</w:t>
      </w:r>
      <w:r w:rsidRPr="00444C01">
        <w:t>К рабочим и крестьянам Персии</w:t>
      </w:r>
      <w:r w:rsidR="00C75250" w:rsidRPr="00444C01">
        <w:t>"</w:t>
      </w:r>
      <w:r w:rsidRPr="00444C01">
        <w:t xml:space="preserve">, опубликованном 30 августа 1919 г., оно охарактеризовало его как кабальный и заявило, что </w:t>
      </w:r>
      <w:r w:rsidR="00C75250" w:rsidRPr="00444C01">
        <w:t>"</w:t>
      </w:r>
      <w:r w:rsidRPr="00444C01">
        <w:t>не признает англо-персидского договора, осуществляющего это порабощение</w:t>
      </w:r>
      <w:r w:rsidR="00C75250" w:rsidRPr="00444C01">
        <w:t>"</w:t>
      </w:r>
      <w:r w:rsidRPr="00444C01">
        <w:t>.</w:t>
      </w:r>
    </w:p>
    <w:p w:rsidR="00C75250" w:rsidRPr="00444C01" w:rsidRDefault="006F18DD" w:rsidP="00C75250">
      <w:pPr>
        <w:widowControl w:val="0"/>
        <w:suppressAutoHyphens/>
      </w:pPr>
      <w:r w:rsidRPr="00444C01">
        <w:t>В 1920 г. пробританское правительство Ирана под давлением различных политических сил уступило власть националистам. Новое правительство стало настойчиво противодействовать реализации британско-иранского соглашения 1919 г. В качестве альтернативы британскому влиянию националисты указывали на перспективы сотрудничества с США. Соединенные Штаты со своей стороны были заинтересованы в ликвидации того монопольного положения, которое захватила Великобритания в Иране после 1918 г.</w:t>
      </w:r>
    </w:p>
    <w:p w:rsidR="00C75250" w:rsidRPr="00444C01" w:rsidRDefault="006F18DD" w:rsidP="00C75250">
      <w:pPr>
        <w:widowControl w:val="0"/>
        <w:suppressAutoHyphens/>
      </w:pPr>
      <w:r w:rsidRPr="00444C01">
        <w:t>В этих условиях британское правительство было вынуждено начать вывод своих войск из Ирана. Эвакуация контингентов началась с северных районов, однако британские войска стремились задержаться по крайней мере на юге страны, где сепаратистские выступления местных неперсидских племен давали повод говорить о необходимости сохранения британского военного присутствия в интересах стабильности.</w:t>
      </w:r>
    </w:p>
    <w:p w:rsidR="006F18DD" w:rsidRPr="00CF78A0" w:rsidRDefault="006F18DD" w:rsidP="00C75250">
      <w:pPr>
        <w:widowControl w:val="0"/>
        <w:suppressAutoHyphens/>
      </w:pPr>
      <w:r w:rsidRPr="00444C01">
        <w:t>Вывод британских войск резко изменил соотношение сил внутри Ирана. В феврале 1921 г. в стране произошел переворот, выдвинувший к власти национально ориентированного командира казачьей бригады Реза-хана, ставшего военным министром и фактически диктатором.</w:t>
      </w:r>
    </w:p>
    <w:p w:rsidR="00C75250" w:rsidRPr="00444C01" w:rsidRDefault="007948DE" w:rsidP="00C75250">
      <w:pPr>
        <w:widowControl w:val="0"/>
        <w:suppressAutoHyphens/>
      </w:pPr>
      <w:r w:rsidRPr="00444C01">
        <w:t>24 ноября 1917 г. Советское правительство опубликовало обращение</w:t>
      </w:r>
      <w:r w:rsidR="00C75250" w:rsidRPr="00444C01">
        <w:t xml:space="preserve"> </w:t>
      </w:r>
      <w:r w:rsidRPr="00444C01">
        <w:t>ко</w:t>
      </w:r>
      <w:r w:rsidR="00C75250" w:rsidRPr="00444C01">
        <w:t xml:space="preserve"> </w:t>
      </w:r>
      <w:r w:rsidRPr="00444C01">
        <w:t>всем</w:t>
      </w:r>
      <w:r w:rsidR="00C75250" w:rsidRPr="00444C01">
        <w:t xml:space="preserve"> </w:t>
      </w:r>
      <w:r w:rsidRPr="00444C01">
        <w:t>трудящимся</w:t>
      </w:r>
      <w:r w:rsidR="00C75250" w:rsidRPr="00444C01">
        <w:t xml:space="preserve"> </w:t>
      </w:r>
      <w:r w:rsidRPr="00444C01">
        <w:t>мусульманам</w:t>
      </w:r>
      <w:r w:rsidR="00C75250" w:rsidRPr="00444C01">
        <w:t xml:space="preserve"> </w:t>
      </w:r>
      <w:r w:rsidRPr="00444C01">
        <w:t>России</w:t>
      </w:r>
      <w:r w:rsidR="00C75250" w:rsidRPr="00444C01">
        <w:t xml:space="preserve"> </w:t>
      </w:r>
      <w:r w:rsidRPr="00444C01">
        <w:t>и Востока, в котором заявлялось: "договор о разделе Персии порван и уничтожен. Как только прекратятся военные действия, войска будут выведены из Персии и персам будет обеспечено право свободного определения своей судьбы". В декабре 1917 г. советское правительство объявило о начале эвакуации советских войск из Ирана. Были опубликованы тайные договоры, заключенные царской Россией с Англией и другими государствами, которые касались Ирана и ущемляли его права как независимого государства.</w:t>
      </w:r>
    </w:p>
    <w:p w:rsidR="007948DE" w:rsidRPr="00444C01" w:rsidRDefault="007948DE" w:rsidP="00C75250">
      <w:pPr>
        <w:widowControl w:val="0"/>
        <w:suppressAutoHyphens/>
      </w:pPr>
      <w:r w:rsidRPr="00444C01">
        <w:t>Эти шаги советского правительства носили главным образом характер идеологической дипломатии, рассчитанной на создание соответствующего общественного настроя в Иране, сохранение политического влияния Советской России и формирование просоветского революционного движения. Путем различных пропагандистских действий Советское государство стремилось внедрить в иранское общество убеждение о полном разрыве со старой царской захватнической политикой, обязывая Англию, со своей стороны, сделать то же самое. Идеология и пропаганда становились главным оружием советской дипломатии в Азии, позволявшим Советскому Союзу добиваться в азиатских странах немалых успехов.</w:t>
      </w:r>
    </w:p>
    <w:p w:rsidR="001C4C73" w:rsidRPr="00CF78A0" w:rsidRDefault="007948DE" w:rsidP="00C75250">
      <w:pPr>
        <w:widowControl w:val="0"/>
        <w:suppressAutoHyphens/>
      </w:pPr>
      <w:r w:rsidRPr="00444C01">
        <w:t>12 января 1918 г. в Тегеран прибыл неофициальный представитель Советской России Бравин. Он привез с собой ноты от Ленина шаху. В письме Ленина шаху приносились извинения за прошлые агрессивные действия царской России, обещана компенсация за нанесенный Ирану ущерб. Главной целью этих нот, несомненно, искренних по своему духу, было возбуждение в иранских демократических кругах антианглийских настроений. Английский автор П.</w:t>
      </w:r>
      <w:r w:rsidR="001C4C73" w:rsidRPr="00444C01">
        <w:t xml:space="preserve"> </w:t>
      </w:r>
      <w:r w:rsidRPr="00444C01">
        <w:t>Эвери, профессор Кембриджского университета пишет в своей фундаментальной монографии "Современный Иран": "В Тегеране эти письма возбудили антианглийскую пропаганду, которая сделала положение проанглийских политиков опасной. Они подверглись риску нападения и даже убийства из-за злословия и пропагандистских инсинуаций прессы..." и далее: "Газеты демократов приняли жесты России с восторгом. Это не означало, что иранцы были обмануты показным доброжелательством нового русского правительства, а предложение компенсации расценивалось лишь как предложение того, что законно принадлежало Ирану; но пропагандистская акция, принятая с тем цинизмом, которую она заслуживала, стала для них предлогом, использованная как палка, чтобы вышибить дух англичан"</w:t>
      </w:r>
      <w:r w:rsidR="001C4C73" w:rsidRPr="00444C01">
        <w:t>.</w:t>
      </w:r>
    </w:p>
    <w:p w:rsidR="007948DE" w:rsidRPr="00444C01" w:rsidRDefault="007948DE" w:rsidP="00C75250">
      <w:pPr>
        <w:widowControl w:val="0"/>
        <w:suppressAutoHyphens/>
      </w:pPr>
      <w:r w:rsidRPr="00444C01">
        <w:t>Атмосфера в Тегеране стала настолько зловещей, что английским дипломатам надо было принимать срочно ответные меры для противодействия мощному советскому дипломатическому наступлению. Письмо Ленина шаху, буквально, наэлектризовало обстановку в стране и грозило обернуться против англичан крупными политическими неприятностями. Ситуация усугублялась опасностью превращения Ирана в коридор проникновения в Индию советской пропаганды. Линия индийских железных дорог в 1915 г. была доведена до Захедана, находящегося на территории Ирана, и отсюда могла быть начата советская пропагандистская атака против английского владычества в Индии. Страх за свои индийские владения, доходящий до параноидальной болезни "русской угрозы", заставил английский кабинет поручить лорду Керзону выработать новую концепцию азиатской политики для осуществления, в первую очередь, в Иране.</w:t>
      </w:r>
    </w:p>
    <w:p w:rsidR="007948DE" w:rsidRPr="00444C01" w:rsidRDefault="007948DE" w:rsidP="00C75250">
      <w:pPr>
        <w:widowControl w:val="0"/>
        <w:suppressAutoHyphens/>
      </w:pPr>
      <w:r w:rsidRPr="00444C01">
        <w:t>План преобразования Ирана должен был быть направлен на осуществление экономических, политических и военных реформ с тем, чтобы сделать страну полезным партнером Англии в Азии. В британских дипломатических кругах, однако, справедливо опасались, что обычная процедура таких реформ могла дать основание для вмешательства Франции и США, которые, разумеется, воспользовались бы удобным случаем для китаизации Ирана с принципом "равных возможностей" и "открытых дверей". Англия должна была действовать осторожно, чтобы проведенные реформы дали ей возможность занять верховное положение во всех сферах экономической, политической и социальной жизни страны.</w:t>
      </w:r>
    </w:p>
    <w:p w:rsidR="007948DE" w:rsidRPr="00444C01" w:rsidRDefault="007948DE" w:rsidP="00C75250">
      <w:pPr>
        <w:widowControl w:val="0"/>
        <w:suppressAutoHyphens/>
      </w:pPr>
      <w:r w:rsidRPr="00444C01">
        <w:t>К великому огорчению президента США В.</w:t>
      </w:r>
      <w:r w:rsidR="001C4C73" w:rsidRPr="00444C01">
        <w:t xml:space="preserve"> </w:t>
      </w:r>
      <w:r w:rsidRPr="00444C01">
        <w:t>Вильсона, иранская делегация не была допущена на Версальскую конференцию. Британская делегация ссылалась на то, что иранские представители участвовали в брест-литовских переговорах на стороне Германии и по их совету в договор был включен VIII пункт, который требовал вывод российских войск с территорий других государств. Но главное заключалось не в этом. Иран представил программу требований, которая вызывала резкое возражение Ллойд-Джорджа. Они предусматривали расширение границ Ирана. На севере Амударья должна была быть признана его границей в Центральной Азии. На западе в состав Ирана включался Мосул и границы достигали Евфрата. Иранские правители, вдохновленные ослаблением России и ее уходом из Ирана, пытались воссоздать древнее сасанидское государство и стать суверенным, независимым влиятельным государством. Это было как раз то, чего не могла допустить Англия.</w:t>
      </w:r>
    </w:p>
    <w:p w:rsidR="007948DE" w:rsidRPr="00444C01" w:rsidRDefault="007948DE" w:rsidP="00C75250">
      <w:pPr>
        <w:widowControl w:val="0"/>
        <w:suppressAutoHyphens/>
      </w:pPr>
      <w:r w:rsidRPr="00444C01">
        <w:t>Вместо этого абсурдного амбициозного проекта английские дипломаты предложили заключить англо-иранский договор. В Тегеран был направлен опытный английский дипломат Перси Кокс, прослуживший долгие годы в Персидском заливе. Как и все английские офицеры, служившие в Иране, он блестяще владел персидским и арабским языками и был знаком практически со всеми влиятельными политическими деятелями в Иране и социальной элитой в Тегеране.</w:t>
      </w:r>
    </w:p>
    <w:p w:rsidR="007948DE" w:rsidRPr="00444C01" w:rsidRDefault="007948DE" w:rsidP="00C75250">
      <w:pPr>
        <w:widowControl w:val="0"/>
        <w:suppressAutoHyphens/>
      </w:pPr>
      <w:r w:rsidRPr="00444C01">
        <w:t>Неясно, каким образом ему удалось склонить иранских государственных деятелей к подписанию договора, и какими мотивами руководствовались иранские политики при его подписании - это, вероятно, так и останется навсегда тайной. Но, несомненно, дело не обошлось без крупной взятки. Коррумпированность иранских высших чиновников всегда использовалась и английскими, и предпринимателями и политиками и дать взятку премьер-министру или министру иностранных дел, чтобы добиться соглашения по какому-либо вопросу, считалось проявлением уважения или элементарной вежливости.</w:t>
      </w:r>
    </w:p>
    <w:p w:rsidR="007948DE" w:rsidRPr="00444C01" w:rsidRDefault="007948DE" w:rsidP="00C75250">
      <w:pPr>
        <w:widowControl w:val="0"/>
        <w:suppressAutoHyphens/>
      </w:pPr>
    </w:p>
    <w:p w:rsidR="007948DE" w:rsidRPr="00CF78A0" w:rsidRDefault="006C4790" w:rsidP="00C75250">
      <w:pPr>
        <w:widowControl w:val="0"/>
        <w:suppressAutoHyphens/>
      </w:pPr>
      <w:r w:rsidRPr="00444C01">
        <w:t>2.</w:t>
      </w:r>
      <w:r w:rsidR="00C75250" w:rsidRPr="00444C01">
        <w:t xml:space="preserve"> </w:t>
      </w:r>
      <w:r w:rsidR="007948DE" w:rsidRPr="00444C01">
        <w:t>Договор 1919 го</w:t>
      </w:r>
      <w:r w:rsidR="00C75250" w:rsidRPr="00444C01">
        <w:t>да и возмущение общественности</w:t>
      </w:r>
    </w:p>
    <w:p w:rsidR="007948DE" w:rsidRPr="00444C01" w:rsidRDefault="007948DE" w:rsidP="00C75250">
      <w:pPr>
        <w:widowControl w:val="0"/>
        <w:suppressAutoHyphens/>
      </w:pPr>
    </w:p>
    <w:p w:rsidR="007948DE" w:rsidRPr="00444C01" w:rsidRDefault="007948DE" w:rsidP="00C75250">
      <w:pPr>
        <w:widowControl w:val="0"/>
        <w:suppressAutoHyphens/>
      </w:pPr>
      <w:r w:rsidRPr="00444C01">
        <w:t>Так или иначе, английским дипломатам удалось добиться подписания 9 августа 1919 г. договора "О британской помощи для содействия прогрессу и благополучию Персии". Договор, как это обычно делала британская дипломатия, предусматривал клятвенные заверения Англии уважать иранскую независимость и территориальную целостность. По договору, Англия обещала посылать советников за счет Ирана в различные отрасли государственного аппарата; создать смешанную комиссию из английских и иранских экспертов в целях реорганизации иранской армии по английскому образцу, которая сохраняла бы порядок в стране и охраняла границы. Все вооружение и снаряжение, а также униформу Англия бралась обеспечить сама за счет иранского правительства. Финансирование реформ производилось путем предоставления английского займа в 2 млн. ф.ст. на 20 лет из расчета 7 % годовых под обеспечение таможенных и других доходов иранского правительства. В соответствии с договором, предполагалось создать смешанное англо-иранское предприятие для строительства в Иране шоссейных и железных дорог.</w:t>
      </w:r>
    </w:p>
    <w:p w:rsidR="007948DE" w:rsidRPr="00444C01" w:rsidRDefault="007948DE" w:rsidP="00C75250">
      <w:pPr>
        <w:widowControl w:val="0"/>
        <w:suppressAutoHyphens/>
      </w:pPr>
      <w:r w:rsidRPr="00444C01">
        <w:t>В XIX в., когда Россия выступала противовесом английской политики в Иране, такой договор был бы неслыханным и был бы пресечен российским правительством безо всяких условий. Теперь обстоятельства изменились, и Англия спешила установить фактический протекторат над страной. Иран должен был процветать, но под покровительством Англии. Однако, Англия просчиталась. В Иране появилась новая сила - иранская общественность, которая в позиции Советского государства увидела альтернативу развития своих международных отношений. Договор вызвал бурные протесты иранской общественности. Меджлис не ратифицировал его и в феврале 1921 г., в день подписания советско-иранского договора, иранское правительство официально объявило об аннулировании договора с Англией.</w:t>
      </w:r>
    </w:p>
    <w:p w:rsidR="007948DE" w:rsidRPr="00444C01" w:rsidRDefault="007948DE" w:rsidP="00C75250">
      <w:pPr>
        <w:widowControl w:val="0"/>
        <w:suppressAutoHyphens/>
      </w:pPr>
      <w:r w:rsidRPr="00444C01">
        <w:t>В городах начались массовые демонстрации и митинги протеста против англо-иранского соглашения. Для борьбы за аннулирование соглашения возникли тайные общества. К концу 1919 г. вся страна была охвачена революционным движением. Утверждение Советской власти в Закавказье имело важное значение в развитии антианглийского движения. В апреле 1920 г. началось восстание в Иранском Азербайджане. Народное движение против соглашения начало переходить рамки антианглийских выступлений и превращалось в революционное политическое движение за суверенитет страны, утверждение в стране демократических порядков. В южном Азербайджане была создана Демократическая партия. Она начала издавать свою газету, в которой печатались статьи, направленные против англичан, коррумпированных чиновников, с требованием не допустить ратификации англо-иранского договора.</w:t>
      </w:r>
    </w:p>
    <w:p w:rsidR="007948DE" w:rsidRPr="00444C01" w:rsidRDefault="007948DE" w:rsidP="00C75250">
      <w:pPr>
        <w:widowControl w:val="0"/>
        <w:suppressAutoHyphens/>
      </w:pPr>
    </w:p>
    <w:p w:rsidR="001C4C73" w:rsidRPr="00444C01" w:rsidRDefault="001C4C73">
      <w:r w:rsidRPr="00444C01">
        <w:br w:type="page"/>
      </w:r>
    </w:p>
    <w:p w:rsidR="007948DE" w:rsidRPr="00444C01" w:rsidRDefault="006C4790" w:rsidP="00C75250">
      <w:pPr>
        <w:widowControl w:val="0"/>
        <w:suppressAutoHyphens/>
      </w:pPr>
      <w:r w:rsidRPr="00444C01">
        <w:t>3.</w:t>
      </w:r>
      <w:r w:rsidR="00C75250" w:rsidRPr="00444C01">
        <w:rPr>
          <w:lang w:val="en-US"/>
        </w:rPr>
        <w:t xml:space="preserve"> </w:t>
      </w:r>
      <w:r w:rsidR="007948DE" w:rsidRPr="00444C01">
        <w:t>Начало восстания</w:t>
      </w:r>
    </w:p>
    <w:p w:rsidR="007948DE" w:rsidRPr="00444C01" w:rsidRDefault="007948DE" w:rsidP="00C75250">
      <w:pPr>
        <w:widowControl w:val="0"/>
        <w:suppressAutoHyphens/>
      </w:pPr>
    </w:p>
    <w:p w:rsidR="007948DE" w:rsidRPr="00444C01" w:rsidRDefault="007948DE" w:rsidP="00C75250">
      <w:pPr>
        <w:widowControl w:val="0"/>
        <w:suppressAutoHyphens/>
      </w:pPr>
      <w:r w:rsidRPr="00444C01">
        <w:t>Азербайджанские революционеры в конце апреля 1920 г. захватили власть в Тавризе. Это был демократический переворот, который оказал влияние на национально-демократическое движение в стране. Наиболее сильное национально-освободительное движение в Иране в 1919-1920 гг. происходило в Гиляне. Здесь было провозглашено образование Гилянской республики. В Энзели советский флот высадил десант. Англичане вынуждены были эвакуировать Энзели, а затем и Гилян. В Гиляне было создано временное революционное правительство, в котором лидер революции Кучек хан занял пост военного комиссара. В.И.</w:t>
      </w:r>
      <w:r w:rsidR="001C4C73" w:rsidRPr="00444C01">
        <w:t xml:space="preserve"> </w:t>
      </w:r>
      <w:r w:rsidRPr="00444C01">
        <w:t>Ленину было отправлено письмо с приветствием от имени народа, взявшего в Гиляне власть в свои руки. В июне 1920 г. в Энзели было объявлено о создании Коммунистической партии. Были созданы воинские части, названные Красной Армией. Революционное движение начало перекидываться и в другие районы Ирана. Вместе с требованием аннулирования англо-иранского соглашения, в нем появились требования политического и социального характера. Отличительной чертой политической ситуации, сложившейся в странах, оказавшихся под воздействием революции в России, являлось утверждение патриотически настроенных революционных демократов в качестве решающей политической силы, оказывавшей сильное воздействие на внутреннюю и внешнюю политику страны. Каждое проявление проимпериалистической соглашательской политики правителей, каждая попытка предать национальные интересы и нанести ущерб национальному суверенитету, вызвали бурную реакцию и вспышку политических выступлений, в которых требования внешнеполитического характера переплетались с социальными и экономическими требованиями. В Иране борьба против англо-иранского договора превратилась в иранскую революцию.</w:t>
      </w:r>
    </w:p>
    <w:p w:rsidR="007948DE" w:rsidRPr="00444C01" w:rsidRDefault="007948DE" w:rsidP="00C75250">
      <w:pPr>
        <w:widowControl w:val="0"/>
        <w:suppressAutoHyphens/>
      </w:pPr>
      <w:r w:rsidRPr="00444C01">
        <w:t>Правящие круги Ирана во главе с шахом начали искать выход из политического кризиса. Они установили связи с казачьей дивизией, которая была в то время единственной организованной и дисциплинированной регулярной вооруженной силой. Английским офицерам удалось устранить русских офицеров, командовавших дивизией. Для англичан представилась возможность захватить военную власть без военной интервенции, которая была обречена на провал. Главная ставка была сделана на полковника Реза хана, который играл видную роль среди персидских казачьих офицеров.</w:t>
      </w:r>
    </w:p>
    <w:p w:rsidR="007948DE" w:rsidRPr="00444C01" w:rsidRDefault="007948DE" w:rsidP="00C75250">
      <w:pPr>
        <w:widowControl w:val="0"/>
        <w:suppressAutoHyphens/>
      </w:pPr>
    </w:p>
    <w:p w:rsidR="007948DE" w:rsidRPr="00444C01" w:rsidRDefault="006C4790" w:rsidP="00C75250">
      <w:pPr>
        <w:widowControl w:val="0"/>
        <w:suppressAutoHyphens/>
        <w:rPr>
          <w:lang w:val="en-US"/>
        </w:rPr>
      </w:pPr>
      <w:r w:rsidRPr="00444C01">
        <w:t>4.</w:t>
      </w:r>
      <w:r w:rsidR="00C75250" w:rsidRPr="00444C01">
        <w:rPr>
          <w:lang w:val="en-US"/>
        </w:rPr>
        <w:t xml:space="preserve"> </w:t>
      </w:r>
      <w:r w:rsidR="007948DE" w:rsidRPr="00444C01">
        <w:t>С</w:t>
      </w:r>
      <w:r w:rsidR="00C75250" w:rsidRPr="00444C01">
        <w:t>оздание нового правительства</w:t>
      </w:r>
    </w:p>
    <w:p w:rsidR="007948DE" w:rsidRPr="00444C01" w:rsidRDefault="007948DE" w:rsidP="00C75250">
      <w:pPr>
        <w:widowControl w:val="0"/>
        <w:suppressAutoHyphens/>
      </w:pPr>
    </w:p>
    <w:p w:rsidR="00C75250" w:rsidRPr="00444C01" w:rsidRDefault="007948DE" w:rsidP="00C75250">
      <w:pPr>
        <w:widowControl w:val="0"/>
        <w:suppressAutoHyphens/>
      </w:pPr>
      <w:r w:rsidRPr="00444C01">
        <w:t>21 февраля 1921 г. части персидских казаков вступили в Тегеран, и Реза хан фактически установил свою власть в столице. Фактически действиями казаков руководили английские офицеры, находившиеся в казачьих частях в качестве инструкторов. Казаки захватили правительственные здания в столице и арестовали около двухсот иранских сановников и видных государственных деятелей. Было образовано новое правительство во главе с Сеидом Зия, открытым сторонником Англии. Реза хан был назначен командиром казачьей дивизии, а затем военным министром.</w:t>
      </w:r>
    </w:p>
    <w:p w:rsidR="007948DE" w:rsidRPr="00444C01" w:rsidRDefault="007948DE" w:rsidP="00C75250">
      <w:pPr>
        <w:widowControl w:val="0"/>
        <w:suppressAutoHyphens/>
      </w:pPr>
      <w:r w:rsidRPr="00444C01">
        <w:t>Новое правительство столкнулось не только с революционным движением, но и деградацией сельского хозяйства, основой иранской экономики. Его первостепенной задачей было восстановить прежние традиционные рынки, на которые была сориентирована иранская экономика в конце XIХ и начале ХХ вв. Поэтому Россия и отношения с ней были в центре внимания правительства Сеида Зия. Россия была главным потребителей иранского хлопка, шелка, овечьих шкур. Не меньшее значение имело предоставление российским предпринимателям концессий на рыбную ловлю у берегов Ирана на Каспийском море. Доход от этой концессии составлял примерно 20 тыс. ф.ст. в год.</w:t>
      </w:r>
    </w:p>
    <w:p w:rsidR="001C4C73" w:rsidRPr="00444C01" w:rsidRDefault="001C4C73">
      <w:r w:rsidRPr="00444C01">
        <w:br w:type="page"/>
      </w:r>
    </w:p>
    <w:p w:rsidR="007948DE" w:rsidRPr="00444C01" w:rsidRDefault="006C4790" w:rsidP="00C75250">
      <w:pPr>
        <w:widowControl w:val="0"/>
        <w:suppressAutoHyphens/>
        <w:rPr>
          <w:lang w:val="en-US"/>
        </w:rPr>
      </w:pPr>
      <w:r w:rsidRPr="00444C01">
        <w:t>5.</w:t>
      </w:r>
      <w:r w:rsidR="00C75250" w:rsidRPr="00444C01">
        <w:rPr>
          <w:lang w:val="en-US"/>
        </w:rPr>
        <w:t xml:space="preserve"> </w:t>
      </w:r>
      <w:r w:rsidR="007948DE" w:rsidRPr="00444C01">
        <w:t>Аннулир</w:t>
      </w:r>
      <w:r w:rsidR="00C75250" w:rsidRPr="00444C01">
        <w:t>ование англо-иранского договора</w:t>
      </w:r>
    </w:p>
    <w:p w:rsidR="007948DE" w:rsidRPr="00444C01" w:rsidRDefault="007948DE" w:rsidP="00C75250">
      <w:pPr>
        <w:widowControl w:val="0"/>
        <w:suppressAutoHyphens/>
      </w:pPr>
    </w:p>
    <w:p w:rsidR="007948DE" w:rsidRPr="00444C01" w:rsidRDefault="007948DE" w:rsidP="00C75250">
      <w:pPr>
        <w:widowControl w:val="0"/>
        <w:suppressAutoHyphens/>
      </w:pPr>
      <w:r w:rsidRPr="00444C01">
        <w:t>Это обстоятельство заставило Сеида Зия поспешить с заключением договора с Советской Россией, который был уже готов к подписанию. Тем более, что такой договор мог бы помочь притупить острие народной борьбы против англо-иранского договора. 26 февраля 1921 г. в Москве посол Ирана Ансари, с одной стороны, и Чичерин с Караханом, с другой, подписали советско-иранский договор. В этот же день был аннулирован англо-иранский договор 1919 г. То, что оба акта произошли в один день, явилось не простым совпадением, а продуманным действием со стороны Сеида Зия, который тем самым демонстрировал иранской общественности, что Советский Союз является приоритетным направлением в иранской внешней политике. Многие обозреватели увидели в этом действии возвращение Ирана к старым временам англо-русского соперничества, когда иранское правительство, ради сохранения независимости, играло на противоречиях двух держав, обеспечивая постоянный баланс в т.н. "большой игре" Англии и России в Центральной Азии. Иран еще не мог играть самостоятельной роли в международных отношениях, хотя ситуация во многом претерпела изменения, т.к. Россия преобразилась в экономическом и политическом отношении и не могла играть прежней роли. Действия иранского правительства были временными тактическими маневрами, направленными на выигрыш времени в расчете на спад антианглийского движения.</w:t>
      </w:r>
    </w:p>
    <w:p w:rsidR="006C4790" w:rsidRPr="00444C01" w:rsidRDefault="007948DE" w:rsidP="00C75250">
      <w:pPr>
        <w:widowControl w:val="0"/>
        <w:suppressAutoHyphens/>
      </w:pPr>
      <w:r w:rsidRPr="00444C01">
        <w:t>Вместе с тем и сам договор, проект которого был представлен советской стороной, был чрезвычайно выгоден Ирану. Советское государство проявило невероятную щедрость, уступая иранской стороне огромные материальные ценности, которые царская Россия накапливала сотню лет. В Москве считали, что политические выгоды от сделки и идеологическое воздействие могут с лихвой перекрыть материальные потери и, в конечном счете, помогут вытеснить из Ирана Англию, сделать Иран важным союзником в развитии антиколониального движения на Востоке. Как показали последующие события, расчеты Коминтерна и советского правительства оказались необоснованными. Англия не собиралась уходить из Ирана и у нее было достаточно политического и дипломатического ресурса для сохранения своих позиций в стране, да и иранские верхи (феодалы, крупные торговцы, чиновничество, многочисленные шахские родственники и приспешники) отнюдь не желали быть воинами Коминтерна.</w:t>
      </w:r>
    </w:p>
    <w:p w:rsidR="008025F0" w:rsidRPr="00444C01" w:rsidRDefault="008025F0" w:rsidP="00C75250">
      <w:pPr>
        <w:widowControl w:val="0"/>
        <w:suppressAutoHyphens/>
      </w:pPr>
    </w:p>
    <w:p w:rsidR="00C75250" w:rsidRPr="00444C01" w:rsidRDefault="00C75250" w:rsidP="00C75250">
      <w:pPr>
        <w:widowControl w:val="0"/>
        <w:suppressAutoHyphens/>
      </w:pPr>
      <w:r w:rsidRPr="00444C01">
        <w:br w:type="page"/>
      </w:r>
    </w:p>
    <w:p w:rsidR="006C4790" w:rsidRPr="00444C01" w:rsidRDefault="006C4790" w:rsidP="00C75250">
      <w:pPr>
        <w:widowControl w:val="0"/>
        <w:suppressAutoHyphens/>
        <w:rPr>
          <w:lang w:val="en-US"/>
        </w:rPr>
      </w:pPr>
      <w:r w:rsidRPr="00444C01">
        <w:t>6.</w:t>
      </w:r>
      <w:r w:rsidR="00C75250" w:rsidRPr="00444C01">
        <w:t xml:space="preserve"> Список литературы</w:t>
      </w:r>
    </w:p>
    <w:p w:rsidR="006C4790" w:rsidRPr="00444C01" w:rsidRDefault="006C4790" w:rsidP="00C75250">
      <w:pPr>
        <w:pStyle w:val="a4"/>
        <w:widowControl w:val="0"/>
        <w:suppressAutoHyphens/>
        <w:spacing w:line="360" w:lineRule="auto"/>
        <w:rPr>
          <w:sz w:val="28"/>
          <w:szCs w:val="28"/>
        </w:rPr>
      </w:pPr>
    </w:p>
    <w:p w:rsidR="006F18DD" w:rsidRPr="00444C01" w:rsidRDefault="006F18DD" w:rsidP="001C4C73">
      <w:pPr>
        <w:pStyle w:val="a3"/>
        <w:widowControl w:val="0"/>
        <w:numPr>
          <w:ilvl w:val="0"/>
          <w:numId w:val="7"/>
        </w:numPr>
        <w:tabs>
          <w:tab w:val="left" w:pos="426"/>
        </w:tabs>
        <w:suppressAutoHyphens/>
        <w:ind w:left="0" w:firstLine="0"/>
        <w:jc w:val="left"/>
      </w:pPr>
      <w:r w:rsidRPr="00444C01">
        <w:t>Алиев С. Иран: Влияние идей Октябрьской</w:t>
      </w:r>
      <w:r w:rsidR="00C75250" w:rsidRPr="00444C01">
        <w:t xml:space="preserve"> </w:t>
      </w:r>
      <w:r w:rsidRPr="00444C01">
        <w:t>революции</w:t>
      </w:r>
      <w:r w:rsidR="001C4C73" w:rsidRPr="00444C01">
        <w:t>.</w:t>
      </w:r>
    </w:p>
    <w:p w:rsidR="006F18DD" w:rsidRPr="00444C01" w:rsidRDefault="006F18DD" w:rsidP="001C4C73">
      <w:pPr>
        <w:pStyle w:val="a3"/>
        <w:widowControl w:val="0"/>
        <w:numPr>
          <w:ilvl w:val="0"/>
          <w:numId w:val="7"/>
        </w:numPr>
        <w:tabs>
          <w:tab w:val="left" w:pos="426"/>
        </w:tabs>
        <w:suppressAutoHyphens/>
        <w:ind w:left="0" w:firstLine="0"/>
        <w:jc w:val="left"/>
      </w:pPr>
      <w:r w:rsidRPr="00444C01">
        <w:t>Густерин П.В. Установление договорных отношений между Советской Россией и сопредельными с ней странами Ближнего и Среднего Востока.</w:t>
      </w:r>
    </w:p>
    <w:p w:rsidR="006F18DD" w:rsidRPr="00444C01" w:rsidRDefault="006F18DD" w:rsidP="001C4C73">
      <w:pPr>
        <w:pStyle w:val="a3"/>
        <w:widowControl w:val="0"/>
        <w:numPr>
          <w:ilvl w:val="0"/>
          <w:numId w:val="7"/>
        </w:numPr>
        <w:tabs>
          <w:tab w:val="left" w:pos="426"/>
        </w:tabs>
        <w:suppressAutoHyphens/>
        <w:ind w:left="0" w:firstLine="0"/>
        <w:jc w:val="left"/>
      </w:pPr>
      <w:r w:rsidRPr="00444C01">
        <w:t>Ключни</w:t>
      </w:r>
      <w:r w:rsidR="001C4C73" w:rsidRPr="00444C01">
        <w:t>ков Ю.</w:t>
      </w:r>
      <w:r w:rsidRPr="00444C01">
        <w:t>В. и Саба</w:t>
      </w:r>
      <w:r w:rsidR="001C4C73" w:rsidRPr="00444C01">
        <w:t>нин А.</w:t>
      </w:r>
      <w:r w:rsidRPr="00444C01">
        <w:t>В., Междунар. политика новейшего времени в договорах, нотах и декларациях, ч. 2, М., 1926, с. 340-41</w:t>
      </w:r>
      <w:r w:rsidR="001C4C73" w:rsidRPr="00444C01">
        <w:t>.</w:t>
      </w:r>
    </w:p>
    <w:p w:rsidR="00C75250" w:rsidRPr="00444C01" w:rsidRDefault="006F18DD" w:rsidP="001C4C73">
      <w:pPr>
        <w:pStyle w:val="a3"/>
        <w:widowControl w:val="0"/>
        <w:numPr>
          <w:ilvl w:val="0"/>
          <w:numId w:val="7"/>
        </w:numPr>
        <w:tabs>
          <w:tab w:val="left" w:pos="426"/>
        </w:tabs>
        <w:suppressAutoHyphens/>
        <w:ind w:left="0" w:firstLine="0"/>
        <w:jc w:val="left"/>
      </w:pPr>
      <w:r w:rsidRPr="00444C01">
        <w:t>Трошин Ю.А. История стран Азии и Африки в новейшее время (1918 - 2000)</w:t>
      </w:r>
      <w:r w:rsidR="001C4C73" w:rsidRPr="00444C01">
        <w:t>.</w:t>
      </w:r>
    </w:p>
    <w:p w:rsidR="006C4790" w:rsidRPr="00444C01" w:rsidRDefault="006C4790" w:rsidP="001C4C73">
      <w:pPr>
        <w:pStyle w:val="a4"/>
        <w:widowControl w:val="0"/>
        <w:numPr>
          <w:ilvl w:val="0"/>
          <w:numId w:val="7"/>
        </w:numPr>
        <w:tabs>
          <w:tab w:val="left" w:pos="426"/>
        </w:tabs>
        <w:suppressAutoHyphens/>
        <w:spacing w:line="360" w:lineRule="auto"/>
        <w:ind w:left="0" w:firstLine="0"/>
        <w:jc w:val="left"/>
        <w:rPr>
          <w:sz w:val="28"/>
          <w:szCs w:val="28"/>
        </w:rPr>
      </w:pPr>
      <w:r w:rsidRPr="00444C01">
        <w:rPr>
          <w:sz w:val="28"/>
          <w:szCs w:val="28"/>
        </w:rPr>
        <w:t>Бисмарк О. Мысли и воспоминания. Т.3. - М., 1941, с.118.</w:t>
      </w:r>
    </w:p>
    <w:p w:rsidR="00C75250" w:rsidRPr="00444C01" w:rsidRDefault="006C4790" w:rsidP="001C4C73">
      <w:pPr>
        <w:pStyle w:val="a4"/>
        <w:widowControl w:val="0"/>
        <w:numPr>
          <w:ilvl w:val="0"/>
          <w:numId w:val="7"/>
        </w:numPr>
        <w:tabs>
          <w:tab w:val="left" w:pos="426"/>
        </w:tabs>
        <w:suppressAutoHyphens/>
        <w:spacing w:line="360" w:lineRule="auto"/>
        <w:ind w:left="0" w:firstLine="0"/>
        <w:jc w:val="left"/>
        <w:rPr>
          <w:sz w:val="28"/>
          <w:szCs w:val="28"/>
        </w:rPr>
      </w:pPr>
      <w:r w:rsidRPr="00444C01">
        <w:rPr>
          <w:sz w:val="28"/>
          <w:szCs w:val="28"/>
        </w:rPr>
        <w:t>Богатуров А.Д.</w:t>
      </w:r>
      <w:r w:rsidR="001C4C73" w:rsidRPr="00444C01">
        <w:rPr>
          <w:sz w:val="28"/>
          <w:szCs w:val="28"/>
        </w:rPr>
        <w:t xml:space="preserve"> </w:t>
      </w:r>
      <w:r w:rsidRPr="00444C01">
        <w:rPr>
          <w:sz w:val="28"/>
          <w:szCs w:val="28"/>
        </w:rPr>
        <w:t xml:space="preserve">Кризис и война: Международные отношения в центре и на периферии мировой системы в 30-40-х годах, М.: МОНФ, 1998 / [Электронный ресурс]. - Электрон. дан. – Режим доступа: </w:t>
      </w:r>
      <w:r w:rsidRPr="004908CD">
        <w:rPr>
          <w:sz w:val="28"/>
          <w:szCs w:val="28"/>
        </w:rPr>
        <w:t>http://militera.lib.ru/research/bogaturov/10.html</w:t>
      </w:r>
    </w:p>
    <w:p w:rsidR="006C4790" w:rsidRPr="00444C01" w:rsidRDefault="006C4790" w:rsidP="001C4C73">
      <w:pPr>
        <w:pStyle w:val="a3"/>
        <w:widowControl w:val="0"/>
        <w:numPr>
          <w:ilvl w:val="0"/>
          <w:numId w:val="7"/>
        </w:numPr>
        <w:tabs>
          <w:tab w:val="left" w:pos="426"/>
        </w:tabs>
        <w:suppressAutoHyphens/>
        <w:ind w:left="0" w:firstLine="0"/>
        <w:jc w:val="left"/>
      </w:pPr>
      <w:r w:rsidRPr="00444C01">
        <w:t xml:space="preserve">Персиц. </w:t>
      </w:r>
      <w:r w:rsidR="001C4C73" w:rsidRPr="00444C01">
        <w:t>М.</w:t>
      </w:r>
      <w:r w:rsidRPr="00444C01">
        <w:t>А. Застенчивая интервенция, Муравей-Гайд, 1999 г.</w:t>
      </w:r>
    </w:p>
    <w:p w:rsidR="006C4790" w:rsidRPr="00444C01" w:rsidRDefault="006C4790" w:rsidP="001C4C73">
      <w:pPr>
        <w:pStyle w:val="a3"/>
        <w:widowControl w:val="0"/>
        <w:numPr>
          <w:ilvl w:val="0"/>
          <w:numId w:val="7"/>
        </w:numPr>
        <w:tabs>
          <w:tab w:val="left" w:pos="426"/>
        </w:tabs>
        <w:suppressAutoHyphens/>
        <w:ind w:left="0" w:firstLine="0"/>
        <w:jc w:val="left"/>
      </w:pPr>
      <w:r w:rsidRPr="00444C01">
        <w:t>Фёдор Раскольников. Взятие Энзели // Рассказы мичмана Ильина. М., 1934 г.</w:t>
      </w:r>
    </w:p>
    <w:p w:rsidR="006C4790" w:rsidRPr="00444C01" w:rsidRDefault="006C4790" w:rsidP="001C4C73">
      <w:pPr>
        <w:pStyle w:val="a4"/>
        <w:widowControl w:val="0"/>
        <w:numPr>
          <w:ilvl w:val="0"/>
          <w:numId w:val="7"/>
        </w:numPr>
        <w:tabs>
          <w:tab w:val="left" w:pos="426"/>
          <w:tab w:val="left" w:pos="4521"/>
        </w:tabs>
        <w:suppressAutoHyphens/>
        <w:spacing w:line="360" w:lineRule="auto"/>
        <w:ind w:left="0" w:firstLine="0"/>
        <w:jc w:val="left"/>
        <w:rPr>
          <w:sz w:val="28"/>
        </w:rPr>
      </w:pPr>
      <w:r w:rsidRPr="00444C01">
        <w:rPr>
          <w:sz w:val="28"/>
          <w:szCs w:val="28"/>
        </w:rPr>
        <w:t>Хидоятов Г.А. Дипломатия двадцатого века. - М.: СМИ-АЗИЯ, 2010</w:t>
      </w:r>
      <w:r w:rsidR="001C4C73" w:rsidRPr="00444C01">
        <w:rPr>
          <w:sz w:val="28"/>
          <w:szCs w:val="28"/>
        </w:rPr>
        <w:t>.</w:t>
      </w:r>
      <w:bookmarkStart w:id="0" w:name="_GoBack"/>
      <w:bookmarkEnd w:id="0"/>
    </w:p>
    <w:sectPr w:rsidR="006C4790" w:rsidRPr="00444C01" w:rsidSect="00C7525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88" w:rsidRDefault="00E01D88" w:rsidP="007948DE">
      <w:pPr>
        <w:spacing w:line="240" w:lineRule="auto"/>
      </w:pPr>
      <w:r>
        <w:separator/>
      </w:r>
    </w:p>
  </w:endnote>
  <w:endnote w:type="continuationSeparator" w:id="0">
    <w:p w:rsidR="00E01D88" w:rsidRDefault="00E01D88" w:rsidP="00794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88" w:rsidRDefault="00E01D88" w:rsidP="007948DE">
      <w:pPr>
        <w:spacing w:line="240" w:lineRule="auto"/>
      </w:pPr>
      <w:r>
        <w:separator/>
      </w:r>
    </w:p>
  </w:footnote>
  <w:footnote w:type="continuationSeparator" w:id="0">
    <w:p w:rsidR="00E01D88" w:rsidRDefault="00E01D88" w:rsidP="007948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607A"/>
    <w:multiLevelType w:val="hybridMultilevel"/>
    <w:tmpl w:val="F732B9FA"/>
    <w:lvl w:ilvl="0" w:tplc="A89C1384">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91772C"/>
    <w:multiLevelType w:val="hybridMultilevel"/>
    <w:tmpl w:val="2C261DD2"/>
    <w:lvl w:ilvl="0" w:tplc="A89C13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C3D0212"/>
    <w:multiLevelType w:val="hybridMultilevel"/>
    <w:tmpl w:val="38080788"/>
    <w:lvl w:ilvl="0" w:tplc="A89C1384">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8D06E1"/>
    <w:multiLevelType w:val="hybridMultilevel"/>
    <w:tmpl w:val="0C58E320"/>
    <w:lvl w:ilvl="0" w:tplc="A89C138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2CD3532B"/>
    <w:multiLevelType w:val="hybridMultilevel"/>
    <w:tmpl w:val="DD98CE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5639C2"/>
    <w:multiLevelType w:val="hybridMultilevel"/>
    <w:tmpl w:val="E800E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87F0F"/>
    <w:multiLevelType w:val="hybridMultilevel"/>
    <w:tmpl w:val="5350BF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8DE"/>
    <w:rsid w:val="00012A71"/>
    <w:rsid w:val="0004028C"/>
    <w:rsid w:val="000871B8"/>
    <w:rsid w:val="0011146C"/>
    <w:rsid w:val="001C4C73"/>
    <w:rsid w:val="002C4D79"/>
    <w:rsid w:val="002F051F"/>
    <w:rsid w:val="00444C01"/>
    <w:rsid w:val="004908CD"/>
    <w:rsid w:val="00501B4B"/>
    <w:rsid w:val="00616CCD"/>
    <w:rsid w:val="006C4790"/>
    <w:rsid w:val="006F18DD"/>
    <w:rsid w:val="007948DE"/>
    <w:rsid w:val="008025F0"/>
    <w:rsid w:val="0087374B"/>
    <w:rsid w:val="00974993"/>
    <w:rsid w:val="00A30EE4"/>
    <w:rsid w:val="00A65B6A"/>
    <w:rsid w:val="00B8454F"/>
    <w:rsid w:val="00B96088"/>
    <w:rsid w:val="00C75250"/>
    <w:rsid w:val="00CF78A0"/>
    <w:rsid w:val="00D1096F"/>
    <w:rsid w:val="00DB4E52"/>
    <w:rsid w:val="00E01D88"/>
    <w:rsid w:val="00ED4125"/>
    <w:rsid w:val="00F1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AA46E0-FE9D-4794-AA0B-AED5A84F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4F"/>
    <w:pPr>
      <w:spacing w:line="360" w:lineRule="auto"/>
      <w:ind w:firstLine="709"/>
      <w:jc w:val="both"/>
    </w:pPr>
    <w:rPr>
      <w:sz w:val="28"/>
      <w:szCs w:val="28"/>
      <w:lang w:eastAsia="en-US"/>
    </w:rPr>
  </w:style>
  <w:style w:type="paragraph" w:styleId="1">
    <w:name w:val="heading 1"/>
    <w:basedOn w:val="a"/>
    <w:next w:val="a"/>
    <w:link w:val="10"/>
    <w:uiPriority w:val="9"/>
    <w:qFormat/>
    <w:rsid w:val="00B8454F"/>
    <w:pPr>
      <w:keepNext/>
      <w:spacing w:before="240" w:after="60"/>
      <w:outlineLvl w:val="0"/>
    </w:pPr>
    <w:rPr>
      <w:rFonts w:ascii="Arial" w:hAnsi="Arial"/>
      <w:kern w:val="28"/>
      <w:lang w:eastAsia="ru-RU"/>
    </w:rPr>
  </w:style>
  <w:style w:type="paragraph" w:styleId="2">
    <w:name w:val="heading 2"/>
    <w:basedOn w:val="a"/>
    <w:next w:val="a"/>
    <w:link w:val="20"/>
    <w:uiPriority w:val="9"/>
    <w:qFormat/>
    <w:rsid w:val="00B8454F"/>
    <w:pPr>
      <w:keepNext/>
      <w:outlineLvl w:val="1"/>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454F"/>
    <w:rPr>
      <w:rFonts w:ascii="Arial" w:hAnsi="Arial" w:cs="Times New Roman"/>
      <w:kern w:val="28"/>
      <w:sz w:val="20"/>
      <w:szCs w:val="20"/>
      <w:lang w:val="x-none" w:eastAsia="ru-RU"/>
    </w:rPr>
  </w:style>
  <w:style w:type="character" w:customStyle="1" w:styleId="20">
    <w:name w:val="Заголовок 2 Знак"/>
    <w:link w:val="2"/>
    <w:uiPriority w:val="9"/>
    <w:locked/>
    <w:rsid w:val="00B8454F"/>
    <w:rPr>
      <w:rFonts w:ascii="Times New Roman" w:hAnsi="Times New Roman" w:cs="Times New Roman"/>
      <w:sz w:val="20"/>
      <w:szCs w:val="20"/>
      <w:lang w:val="x-none" w:eastAsia="ru-RU"/>
    </w:rPr>
  </w:style>
  <w:style w:type="paragraph" w:styleId="a3">
    <w:name w:val="List Paragraph"/>
    <w:basedOn w:val="a"/>
    <w:uiPriority w:val="34"/>
    <w:qFormat/>
    <w:rsid w:val="00B8454F"/>
    <w:pPr>
      <w:ind w:left="720"/>
      <w:contextualSpacing/>
    </w:pPr>
  </w:style>
  <w:style w:type="paragraph" w:styleId="a4">
    <w:name w:val="footnote text"/>
    <w:basedOn w:val="a"/>
    <w:link w:val="a5"/>
    <w:uiPriority w:val="99"/>
    <w:unhideWhenUsed/>
    <w:rsid w:val="007948DE"/>
    <w:pPr>
      <w:spacing w:line="240" w:lineRule="auto"/>
    </w:pPr>
    <w:rPr>
      <w:sz w:val="20"/>
      <w:szCs w:val="20"/>
    </w:rPr>
  </w:style>
  <w:style w:type="character" w:customStyle="1" w:styleId="a5">
    <w:name w:val="Текст сноски Знак"/>
    <w:link w:val="a4"/>
    <w:uiPriority w:val="99"/>
    <w:locked/>
    <w:rsid w:val="007948DE"/>
    <w:rPr>
      <w:rFonts w:cs="Times New Roman"/>
      <w:sz w:val="20"/>
      <w:szCs w:val="20"/>
    </w:rPr>
  </w:style>
  <w:style w:type="character" w:styleId="a6">
    <w:name w:val="footnote reference"/>
    <w:uiPriority w:val="99"/>
    <w:semiHidden/>
    <w:unhideWhenUsed/>
    <w:rsid w:val="007948DE"/>
    <w:rPr>
      <w:rFonts w:cs="Times New Roman"/>
      <w:vertAlign w:val="superscript"/>
    </w:rPr>
  </w:style>
  <w:style w:type="paragraph" w:styleId="a7">
    <w:name w:val="header"/>
    <w:basedOn w:val="a"/>
    <w:link w:val="a8"/>
    <w:uiPriority w:val="99"/>
    <w:semiHidden/>
    <w:unhideWhenUsed/>
    <w:rsid w:val="006C4790"/>
    <w:pPr>
      <w:tabs>
        <w:tab w:val="center" w:pos="4677"/>
        <w:tab w:val="right" w:pos="9355"/>
      </w:tabs>
      <w:spacing w:line="240" w:lineRule="auto"/>
    </w:pPr>
  </w:style>
  <w:style w:type="character" w:customStyle="1" w:styleId="a8">
    <w:name w:val="Верхний колонтитул Знак"/>
    <w:link w:val="a7"/>
    <w:uiPriority w:val="99"/>
    <w:semiHidden/>
    <w:locked/>
    <w:rsid w:val="006C4790"/>
    <w:rPr>
      <w:rFonts w:cs="Times New Roman"/>
    </w:rPr>
  </w:style>
  <w:style w:type="paragraph" w:styleId="a9">
    <w:name w:val="footer"/>
    <w:basedOn w:val="a"/>
    <w:link w:val="aa"/>
    <w:uiPriority w:val="99"/>
    <w:semiHidden/>
    <w:unhideWhenUsed/>
    <w:rsid w:val="006C4790"/>
    <w:pPr>
      <w:tabs>
        <w:tab w:val="center" w:pos="4677"/>
        <w:tab w:val="right" w:pos="9355"/>
      </w:tabs>
      <w:spacing w:line="240" w:lineRule="auto"/>
    </w:pPr>
  </w:style>
  <w:style w:type="character" w:customStyle="1" w:styleId="aa">
    <w:name w:val="Нижний колонтитул Знак"/>
    <w:link w:val="a9"/>
    <w:uiPriority w:val="99"/>
    <w:semiHidden/>
    <w:locked/>
    <w:rsid w:val="006C4790"/>
    <w:rPr>
      <w:rFonts w:cs="Times New Roman"/>
    </w:rPr>
  </w:style>
  <w:style w:type="character" w:styleId="ab">
    <w:name w:val="Hyperlink"/>
    <w:uiPriority w:val="99"/>
    <w:unhideWhenUsed/>
    <w:rsid w:val="006C47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4667-043C-46F7-8BA1-1EB5987F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2014-03-09T02:49:00Z</dcterms:created>
  <dcterms:modified xsi:type="dcterms:W3CDTF">2014-03-09T02:49:00Z</dcterms:modified>
</cp:coreProperties>
</file>