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4629" w:rsidRDefault="002B4629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Получения Высоковязкого масла П-40</w:t>
      </w:r>
    </w:p>
    <w:p w:rsidR="002B4629" w:rsidRDefault="002B4629">
      <w:pPr>
        <w:spacing w:line="36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Содержание:</w:t>
      </w:r>
    </w:p>
    <w:p w:rsidR="002B4629" w:rsidRDefault="002B4629">
      <w:pPr>
        <w:numPr>
          <w:ilvl w:val="0"/>
          <w:numId w:val="2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Промышленный опыт получения Высоковязкого масла П-40. .. ……. 2</w:t>
      </w:r>
    </w:p>
    <w:p w:rsidR="002B4629" w:rsidRDefault="002B4629">
      <w:pPr>
        <w:pStyle w:val="2"/>
        <w:numPr>
          <w:ilvl w:val="0"/>
          <w:numId w:val="2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Асфальтобетон с использованием отходов нефтепереработки ……… 6</w:t>
      </w:r>
    </w:p>
    <w:p w:rsidR="002B4629" w:rsidRDefault="002B4629">
      <w:pPr>
        <w:pStyle w:val="2"/>
        <w:numPr>
          <w:ilvl w:val="0"/>
          <w:numId w:val="2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Используемая литература …..……………………………………………. 8</w:t>
      </w:r>
    </w:p>
    <w:p w:rsidR="002B4629" w:rsidRDefault="002B4629">
      <w:pPr>
        <w:pStyle w:val="2"/>
        <w:spacing w:line="360" w:lineRule="auto"/>
        <w:ind w:left="0" w:firstLine="0"/>
        <w:rPr>
          <w:b/>
          <w:bCs/>
          <w:sz w:val="24"/>
          <w:szCs w:val="24"/>
        </w:rPr>
      </w:pPr>
    </w:p>
    <w:p w:rsidR="002B4629" w:rsidRDefault="002B4629">
      <w:pPr>
        <w:pStyle w:val="1"/>
        <w:rPr>
          <w:sz w:val="24"/>
          <w:szCs w:val="24"/>
        </w:rPr>
      </w:pPr>
      <w:r>
        <w:rPr>
          <w:sz w:val="24"/>
          <w:szCs w:val="24"/>
        </w:rPr>
        <w:t>Промышленный опыт получения</w:t>
      </w:r>
    </w:p>
    <w:p w:rsidR="002B4629" w:rsidRDefault="002B4629">
      <w:pPr>
        <w:spacing w:line="36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Высоковязкого масла П-40.</w:t>
      </w:r>
    </w:p>
    <w:p w:rsidR="002B4629" w:rsidRDefault="002B4629">
      <w:pPr>
        <w:spacing w:line="360" w:lineRule="auto"/>
        <w:jc w:val="center"/>
        <w:rPr>
          <w:sz w:val="24"/>
          <w:szCs w:val="24"/>
        </w:rPr>
      </w:pP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На основе промышленных опытов, по получению высоковязкого масла методом двухступенчатой деасфальтизации на Омском НПЗ реконструировали типовую установку деасфальтизации.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При реконструкции были дополнительно установлены: экстракционная колонна диаметром 2,8 м с внутренним обогревом, насос КВН, два испарителя, конденсатор-холодильник пропана, два теплообменника. Новую экстракционную колонну используют на первой ступени деасфальтизации, а имеющуюся колонну диаметром 2,4 м после установки в ней внутренних змеевиков — на второй ступени.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Асфальтовый раствор с низа колонны через регулятор уровня и теплообменник под собственным давлением перетекает наверх колонны. Жидкий пропан из рабочих емкостей забирается насосом и через теплообменник подаётся в нижнюю часть. Раствор деасфальтизанта с верха колонны через регулятор давления направляется в испарители и далее в отпарную колонну, откуда кондиционный деасфальтизат второй ступени насосом через холодильник откачивается в парк.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Раствор асфальта с низа колонн через печь П-1 поступает в испаритель по обычной схеме. Для предотвращения забивания конденсаторов асфальтовой пылью в асфальтовый раствор добавляют экстракт с тем, чтобы температура плавления асфальта не превышала 60 градусов.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Пары пропана из растворов деасфальтизаторов первой и второй ступени и асфальтового подаются в конденсаторы и в конденсатор смешения.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Дополнительный конденсатор пропана установлен не на постаменте, а на земле, так как в него направляются только пары из рибойлеров работающие под давлением 24 ати, что обеспечивает перепад давления между рибойлерами и пропановыми ёмкостями порядка 4 — 5 ат.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Теплотехнические характеристики конденсаторов сопоставляли после полугодовой эксплуатации, т.е. с загрязнённой поверхностью теплообмена. Коэффициент теплопередачи для конденсаторов составил соответственно 150—190 и 130—160 ккал/м</w:t>
      </w:r>
      <w:r>
        <w:rPr>
          <w:sz w:val="24"/>
          <w:szCs w:val="24"/>
          <w:vertAlign w:val="superscript"/>
        </w:rPr>
        <w:t xml:space="preserve">2 </w:t>
      </w:r>
      <w:r>
        <w:rPr>
          <w:sz w:val="24"/>
          <w:szCs w:val="24"/>
        </w:rPr>
        <w:t xml:space="preserve"> ∙ град ∙ ч, так как скорости движения паров пропана и воды в первом из них почти в 3 раза превышали скорости потоков во втором и, кроме того, в конденсатор подавался воздух для барботажа. Их теплотехнические характеристики можно считать практически равными.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Достоинства принятой схемы реконструкции заключается в её гибкости, возможности регулирования качества как деасфальтизата первой ступени, так и деасфальтизата второй ступени, надёжное и стабильное получение высоковязкого деасфальтизата с хорошим качеством и высоким выходом.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На режим установка может быть выведена достаточно быстро, и работа протекает безаварийно и устойчиво.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Как показал длительный опыт получения товарного масла П</w:t>
      </w:r>
      <w:r>
        <w:rPr>
          <w:sz w:val="24"/>
          <w:szCs w:val="24"/>
        </w:rPr>
        <w:noBreakHyphen/>
        <w:t>40 по МРТУ 12Н 135-64, установка должна работать со следующим режимом второй ступени деасфальтизации.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Загрузка, м</w:t>
      </w:r>
      <w:r>
        <w:rPr>
          <w:sz w:val="24"/>
          <w:szCs w:val="24"/>
          <w:vertAlign w:val="superscript"/>
        </w:rPr>
        <w:t>3</w:t>
      </w:r>
      <w:r>
        <w:rPr>
          <w:sz w:val="24"/>
          <w:szCs w:val="24"/>
        </w:rPr>
        <w:t>/ч: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асфальтового раствора . . . . . . . . . . . . . . . . . . . . . . .</w:t>
      </w:r>
      <w:r>
        <w:rPr>
          <w:sz w:val="24"/>
          <w:szCs w:val="24"/>
        </w:rPr>
        <w:tab/>
        <w:t>35—45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пропана . . . . . . . . . . . . . . . . . . . . . . . . . . . . . . . . . . . .</w:t>
      </w:r>
      <w:r>
        <w:rPr>
          <w:sz w:val="24"/>
          <w:szCs w:val="24"/>
        </w:rPr>
        <w:tab/>
        <w:t>79—95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Температура колонны К-1а, град.: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верха . . . . . . . . . . . . . . . . . . . …</w:t>
      </w:r>
      <w:r>
        <w:rPr>
          <w:sz w:val="24"/>
          <w:szCs w:val="24"/>
          <w:lang w:val="en-US"/>
        </w:rPr>
        <w:t>…..</w:t>
      </w:r>
      <w:r>
        <w:rPr>
          <w:sz w:val="24"/>
          <w:szCs w:val="24"/>
        </w:rPr>
        <w:t xml:space="preserve"> . . . . . . . . . . . . . . . . . </w:t>
      </w:r>
      <w:r>
        <w:rPr>
          <w:sz w:val="24"/>
          <w:szCs w:val="24"/>
        </w:rPr>
        <w:tab/>
        <w:t>62—66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низа . . . . . . . . . . . . . . . . . . . . . . . . . </w:t>
      </w:r>
      <w:r>
        <w:rPr>
          <w:sz w:val="24"/>
          <w:szCs w:val="24"/>
          <w:lang w:val="en-US"/>
        </w:rPr>
        <w:t>……</w:t>
      </w:r>
      <w:r>
        <w:rPr>
          <w:sz w:val="24"/>
          <w:szCs w:val="24"/>
        </w:rPr>
        <w:t xml:space="preserve">. . .  . . . . . . . . . . </w:t>
      </w:r>
      <w:r>
        <w:rPr>
          <w:sz w:val="24"/>
          <w:szCs w:val="24"/>
        </w:rPr>
        <w:tab/>
        <w:t>51—53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При этом деасфальтизант имеет следующие свойства: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  <w:t>Вязкость кинематическая при 100 градусах, сст . . 40—43</w:t>
      </w:r>
    </w:p>
    <w:p w:rsidR="002B4629" w:rsidRDefault="002B4629">
      <w:pPr>
        <w:pStyle w:val="2"/>
        <w:spacing w:line="360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ab/>
        <w:t>Плотность. . . . . . . . . . . . . . . . . . . . . . . . … . . . . . . . . . 0,925—0,931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  <w:t>Показатель преломления. . . . . . . . .. . . . . . . . . . 1,5120—1,5135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  <w:t>Содержание серы, % вес. . . . . . . . . . . . . . . . . . . . . . . 2,2—2,3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  <w:t>Коксуемость по Конрадсону, % вес. . . . . . . . . . . . . . 2,3—2,5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  <w:t>Цвет по КН-51 (85:15) . . . . . . . . . . . . . . . . . . . . . . . . . 6—18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  <w:t>Температура вспышки по Бренкену, град.  . . . . . . . . 270—280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Выработка деасфальтизата второй ступени при производительности установки 28-30 м</w:t>
      </w:r>
      <w:r>
        <w:rPr>
          <w:sz w:val="24"/>
          <w:szCs w:val="24"/>
          <w:vertAlign w:val="superscript"/>
        </w:rPr>
        <w:t>3</w:t>
      </w:r>
      <w:r>
        <w:rPr>
          <w:sz w:val="24"/>
          <w:szCs w:val="24"/>
        </w:rPr>
        <w:t>/ч по гудрону составляет 14-15% на гудрон.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  <w:t>Качество деасфальтизата легко регулируется температурой верха колонны 3. При её понижении до 58</w:t>
      </w:r>
      <w:r>
        <w:rPr>
          <w:sz w:val="24"/>
          <w:szCs w:val="24"/>
          <w:vertAlign w:val="superscript"/>
        </w:rPr>
        <w:t>0</w:t>
      </w:r>
      <w:r>
        <w:rPr>
          <w:sz w:val="24"/>
          <w:szCs w:val="24"/>
        </w:rPr>
        <w:t xml:space="preserve"> коксуемость резко возрастёт до 2.,9 — 3,0%; при этом содержание серы повышается незначительно, так как она в данной области распределена по фракции сравнительно равномерно.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Очистку деасфальтизата </w:t>
      </w:r>
      <w:r>
        <w:rPr>
          <w:sz w:val="24"/>
          <w:szCs w:val="24"/>
          <w:lang w:val="en-US"/>
        </w:rPr>
        <w:t>II</w:t>
      </w:r>
      <w:r>
        <w:rPr>
          <w:sz w:val="24"/>
          <w:szCs w:val="24"/>
        </w:rPr>
        <w:t xml:space="preserve"> ступени фенолом проводили на типовой реконструированной установке с насадочным экстрактором.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  <w:t>В ходе эксплуатации выработан следующий оптимальный режим: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Кратность к сырью, % объемн.: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Фенола  . . . . . . . . . . . . . . . . . . . . . . . . . . . . . . . . . . . 260 – 320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Воды      . . . . . . . . . . . . . . . . . . . . . . . . . . . . . . . . . . .  5 – 8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Температура экстрактора, град.: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Верха . . . . . . . . . . . . . . . . . . . . . . . . . . . . . . . . . . . . . . 77 – 80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Низа . . . . . . . . . . . . . . . . . . . . . . . . . . . . . . . . . . . . . . . 69 – 71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Суммарная скорость потоков, м</w:t>
      </w:r>
      <w:r>
        <w:rPr>
          <w:sz w:val="24"/>
          <w:szCs w:val="24"/>
          <w:vertAlign w:val="superscript"/>
        </w:rPr>
        <w:t>3</w:t>
      </w:r>
      <w:r>
        <w:rPr>
          <w:sz w:val="24"/>
          <w:szCs w:val="24"/>
        </w:rPr>
        <w:t>/м</w:t>
      </w: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>∙ч . . . . . . . . . . . . 8 – 10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ab/>
        <w:t>Производительность установки не является предельной и лимитируется производительностью установки деасфальтизации. Отбор рафинада в среднем составляет 56-58% и зависит от качества сырья. Так, например вязкости сырья 43-45 сст при100 градусах и коксуемости 3% отбор снижается на 2% абс.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Повышение температуры экстракции приводит к заносам фенола. Ключевыми параметрами при регулировании процесса являются вязкость и коксуемость рафинада.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Очень важно чтобы при регенерации фенола из рафинатового раствора температура вспышки рафинада была не ниже 275 градусов. если это условие нарушается то температура вспышки  готового  масла оказывается  ниже нормы.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Качество рафинада приведено ниже: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Вязкость кинематическая при 100 градусах, сст .     . .  .  . . . . .  30-32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Коксуемость % вес . . . . . . . . . . . . . . . . . . . . . . . . . 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. . . 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. 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 xml:space="preserve">     </w:t>
      </w:r>
      <w:r>
        <w:rPr>
          <w:sz w:val="24"/>
          <w:szCs w:val="24"/>
        </w:rPr>
        <w:t>1.1 –1.2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Содержание серы % вес. . . . . . . . . . . . . . . . . . . . . . . . .  . . . . . . 1.4-1.5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Показатель преломления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  <w:vertAlign w:val="superscript"/>
          <w:lang w:val="en-US"/>
        </w:rPr>
        <w:t>50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vertAlign w:val="subscript"/>
          <w:lang w:val="en-US"/>
        </w:rPr>
        <w:t xml:space="preserve">D </w:t>
      </w:r>
      <w:r>
        <w:rPr>
          <w:sz w:val="24"/>
          <w:szCs w:val="24"/>
          <w:lang w:val="en-US"/>
        </w:rPr>
        <w:t>. .  . . . . . . . . . . . . . .  . . . . 1.4915-1.4925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Плотность ρ</w:t>
      </w:r>
      <w:r>
        <w:rPr>
          <w:sz w:val="24"/>
          <w:szCs w:val="24"/>
          <w:vertAlign w:val="superscript"/>
        </w:rPr>
        <w:t>20</w:t>
      </w:r>
      <w:r>
        <w:rPr>
          <w:sz w:val="24"/>
          <w:szCs w:val="24"/>
          <w:vertAlign w:val="subscript"/>
        </w:rPr>
        <w:t>4</w:t>
      </w:r>
      <w:r>
        <w:rPr>
          <w:sz w:val="24"/>
          <w:szCs w:val="24"/>
        </w:rPr>
        <w:t xml:space="preserve"> . . . . . . . . . . . . . . . . . . . . . . . . . . . . . . . . . . . . . 0.80-0.897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Температура вспышки по Бренкену град   . . . . . . . . . . . . . .. 272-284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Цвет по КН-51 (85:15), мм . . . . . . . . . . . . .. . . . . .. . . .. . .. . . . .. .6-10</w:t>
      </w:r>
    </w:p>
    <w:p w:rsidR="002B4629" w:rsidRDefault="002B4629">
      <w:pPr>
        <w:pStyle w:val="2"/>
        <w:spacing w:line="360" w:lineRule="auto"/>
        <w:ind w:left="0" w:firstLine="720"/>
        <w:jc w:val="both"/>
        <w:rPr>
          <w:sz w:val="24"/>
          <w:szCs w:val="24"/>
        </w:rPr>
      </w:pPr>
      <w:r>
        <w:rPr>
          <w:sz w:val="24"/>
          <w:szCs w:val="24"/>
        </w:rPr>
        <w:t>Экстракт представляет собой вязкий ароматизированый продукт используемый для приготовления масла-мягчителя ПН-66м. Его качество характеризуется следующими показателями: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Вязкость кинематическая при температуре 100 градусов сст .. .85-90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Содержание серы %вес. . . . . ..  .. . . . . . .  . .  … . .  .. .  .. .  .. . . . . .3.3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Коксуемость % вес . . . .. . . . . . . .  .. . .  . .. . .  . .. .  . . ..  ..  . .. . . . 5.2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Плотность ρ</w:t>
      </w:r>
      <w:r>
        <w:rPr>
          <w:sz w:val="24"/>
          <w:szCs w:val="24"/>
          <w:vertAlign w:val="superscript"/>
        </w:rPr>
        <w:t>20</w:t>
      </w:r>
      <w:r>
        <w:rPr>
          <w:sz w:val="24"/>
          <w:szCs w:val="24"/>
          <w:vertAlign w:val="subscript"/>
        </w:rPr>
        <w:t>4</w:t>
      </w:r>
      <w:r>
        <w:rPr>
          <w:sz w:val="24"/>
          <w:szCs w:val="24"/>
        </w:rPr>
        <w:t xml:space="preserve"> . . . . . . . . . . . . . . . . . . . . . . . . .. . . . . . ..  .. . . . .. . 0.985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Показатель преломления </w:t>
      </w:r>
      <w:r>
        <w:rPr>
          <w:sz w:val="24"/>
          <w:szCs w:val="24"/>
          <w:lang w:val="en-US"/>
        </w:rPr>
        <w:t xml:space="preserve"> n </w:t>
      </w:r>
      <w:r>
        <w:rPr>
          <w:sz w:val="24"/>
          <w:szCs w:val="24"/>
          <w:vertAlign w:val="superscript"/>
          <w:lang w:val="en-US"/>
        </w:rPr>
        <w:t>50</w:t>
      </w:r>
      <w:r>
        <w:rPr>
          <w:sz w:val="24"/>
          <w:szCs w:val="24"/>
          <w:vertAlign w:val="subscript"/>
          <w:lang w:val="en-US"/>
        </w:rPr>
        <w:t>D</w:t>
      </w:r>
      <w:r>
        <w:rPr>
          <w:sz w:val="24"/>
          <w:szCs w:val="24"/>
        </w:rPr>
        <w:t xml:space="preserve"> . . . . . . . . . .. .. . . .. . . . . . .  .. . . 1.5430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Хорошо очищенный рафинад успешно депарафинирктся на типовой установке депарафинизации в растворе ацетон толуола при режиме, который немного отличается для остаточного сырья.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Готовое  товарное масло без очистки соответствует МРТУ .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Масло имеет оливково зеленый цвет и достаточно прозрачно цвет по КН-51 при разбавлении 85:15 составляет около 8мм. Выход 76-78% вес.</w:t>
      </w:r>
    </w:p>
    <w:p w:rsidR="002B4629" w:rsidRDefault="002B4629">
      <w:pPr>
        <w:pStyle w:val="2"/>
        <w:spacing w:line="360" w:lineRule="auto"/>
        <w:ind w:left="0" w:firstLine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АСФАЛЬТОБЕТОН С ИСПОЛЬЗОВАНИЕМ ОТХОДОВ НЕФТЕПЕРЕРАБОТКИ</w:t>
      </w:r>
    </w:p>
    <w:p w:rsidR="002B4629" w:rsidRDefault="002B4629">
      <w:pPr>
        <w:spacing w:before="180" w:line="36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Внедрено в дорожно-строительном управлении</w:t>
      </w:r>
      <w:r>
        <w:rPr>
          <w:noProof/>
          <w:sz w:val="24"/>
          <w:szCs w:val="24"/>
        </w:rPr>
        <w:t xml:space="preserve"> № 1,</w:t>
      </w:r>
      <w:r>
        <w:rPr>
          <w:sz w:val="24"/>
          <w:szCs w:val="24"/>
        </w:rPr>
        <w:t xml:space="preserve"> с. Чер</w:t>
      </w:r>
      <w:r>
        <w:rPr>
          <w:sz w:val="24"/>
          <w:szCs w:val="24"/>
        </w:rPr>
        <w:softHyphen/>
        <w:t xml:space="preserve">вленое, автодорога ст. Канальная-Чапурники в августе </w:t>
      </w:r>
      <w:r>
        <w:rPr>
          <w:noProof/>
          <w:sz w:val="24"/>
          <w:szCs w:val="24"/>
        </w:rPr>
        <w:t>1986</w:t>
      </w:r>
      <w:r>
        <w:rPr>
          <w:sz w:val="24"/>
          <w:szCs w:val="24"/>
        </w:rPr>
        <w:t xml:space="preserve"> г.</w:t>
      </w:r>
    </w:p>
    <w:p w:rsidR="002B4629" w:rsidRDefault="002B4629">
      <w:pPr>
        <w:spacing w:line="360" w:lineRule="auto"/>
        <w:ind w:left="40"/>
        <w:jc w:val="both"/>
        <w:rPr>
          <w:sz w:val="24"/>
          <w:szCs w:val="24"/>
        </w:rPr>
      </w:pPr>
      <w:r>
        <w:rPr>
          <w:sz w:val="24"/>
          <w:szCs w:val="24"/>
        </w:rPr>
        <w:t>Предназначен для строительства автомобильных дорог. Отходы контактной очистки дистиллятных остатков при получении нефтяных масел</w:t>
      </w:r>
      <w:r>
        <w:rPr>
          <w:noProof/>
          <w:sz w:val="24"/>
          <w:szCs w:val="24"/>
        </w:rPr>
        <w:t xml:space="preserve"> –</w:t>
      </w:r>
      <w:r>
        <w:rPr>
          <w:sz w:val="24"/>
          <w:szCs w:val="24"/>
        </w:rPr>
        <w:t xml:space="preserve"> ОКОДО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представляют собой массообразный порошок, содержащий до</w:t>
      </w:r>
      <w:r>
        <w:rPr>
          <w:noProof/>
          <w:sz w:val="24"/>
          <w:szCs w:val="24"/>
        </w:rPr>
        <w:t xml:space="preserve"> 45%</w:t>
      </w:r>
      <w:r>
        <w:rPr>
          <w:sz w:val="24"/>
          <w:szCs w:val="24"/>
        </w:rPr>
        <w:t xml:space="preserve"> нефтяных масел. На основании проведенных исследований установлено, что они мо</w:t>
      </w:r>
      <w:r>
        <w:rPr>
          <w:sz w:val="24"/>
          <w:szCs w:val="24"/>
        </w:rPr>
        <w:softHyphen/>
        <w:t>гут быть использованы как добавка к минеральным порошкам для асфальтобетона без предварительной</w:t>
      </w:r>
      <w:r>
        <w:rPr>
          <w:b/>
          <w:bCs/>
          <w:sz w:val="24"/>
          <w:szCs w:val="24"/>
        </w:rPr>
        <w:t xml:space="preserve"> их</w:t>
      </w:r>
      <w:r>
        <w:rPr>
          <w:sz w:val="24"/>
          <w:szCs w:val="24"/>
        </w:rPr>
        <w:t xml:space="preserve"> переработки.</w:t>
      </w:r>
    </w:p>
    <w:p w:rsidR="002B4629" w:rsidRDefault="002B4629">
      <w:pPr>
        <w:spacing w:line="36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При производстве асфальтобетона ОКОДО вводятся в ми</w:t>
      </w:r>
      <w:r>
        <w:rPr>
          <w:sz w:val="24"/>
          <w:szCs w:val="24"/>
        </w:rPr>
        <w:softHyphen/>
        <w:t>неральную смесь в установленном количестве и перемешивают</w:t>
      </w:r>
      <w:r>
        <w:rPr>
          <w:sz w:val="24"/>
          <w:szCs w:val="24"/>
        </w:rPr>
        <w:softHyphen/>
        <w:t>ся с другими материалами до однородного состояния при тем</w:t>
      </w:r>
      <w:r>
        <w:rPr>
          <w:sz w:val="24"/>
          <w:szCs w:val="24"/>
        </w:rPr>
        <w:softHyphen/>
        <w:t>пературе до   140°С, Затем вводится разогретый до рабочей температуры дорожный вязкий битум. В зависимости от содер</w:t>
      </w:r>
      <w:r>
        <w:rPr>
          <w:sz w:val="24"/>
          <w:szCs w:val="24"/>
        </w:rPr>
        <w:softHyphen/>
        <w:t>жания масел в ОКОДО, вязкости битума, качества основного минерального порошка количество ОКОДО, вводимых в смесь, составляет 10+30% от массы всего минерального порошка.</w:t>
      </w:r>
    </w:p>
    <w:p w:rsidR="002B4629" w:rsidRDefault="002B4629">
      <w:pPr>
        <w:spacing w:line="36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При этом уменьшается водопоглащение и набухание асфальтобетона, что способствует лучшей работе его в эксплуатационных увлажнённых условиях.</w:t>
      </w:r>
    </w:p>
    <w:p w:rsidR="002B4629" w:rsidRDefault="002B462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использовании ОКОДО получили пластичные асфальтобетонные смеси с прочностью </w:t>
      </w:r>
    </w:p>
    <w:p w:rsidR="002B4629" w:rsidRDefault="002B462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Отходы ОКОДО позволяют уменьшить содержание битума в зависимости от его вязкости на</w:t>
      </w:r>
      <w:r>
        <w:rPr>
          <w:sz w:val="24"/>
          <w:szCs w:val="24"/>
          <w:lang w:val="en-US"/>
        </w:rPr>
        <w:t xml:space="preserve"> 1,5f2,0%</w:t>
      </w:r>
      <w:r>
        <w:rPr>
          <w:sz w:val="24"/>
          <w:szCs w:val="24"/>
        </w:rPr>
        <w:t xml:space="preserve"> от массы мине</w:t>
      </w:r>
      <w:r>
        <w:rPr>
          <w:sz w:val="24"/>
          <w:szCs w:val="24"/>
        </w:rPr>
        <w:softHyphen/>
        <w:t>ральной смеси. Асфальтобетон с ОКОДО не уступает по своим техническим характеристикам асфальтобетону на традицион</w:t>
      </w:r>
      <w:r>
        <w:rPr>
          <w:sz w:val="24"/>
          <w:szCs w:val="24"/>
        </w:rPr>
        <w:softHyphen/>
        <w:t>ных материалах.</w:t>
      </w:r>
    </w:p>
    <w:p w:rsidR="002B4629" w:rsidRDefault="002B462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Экономический эффект составил</w:t>
      </w:r>
      <w:r>
        <w:rPr>
          <w:noProof/>
          <w:sz w:val="24"/>
          <w:szCs w:val="24"/>
        </w:rPr>
        <w:t xml:space="preserve"> 22</w:t>
      </w:r>
      <w:r>
        <w:rPr>
          <w:sz w:val="24"/>
          <w:szCs w:val="24"/>
        </w:rPr>
        <w:t xml:space="preserve"> тыс. руб. на</w:t>
      </w:r>
      <w:r>
        <w:rPr>
          <w:noProof/>
          <w:sz w:val="24"/>
          <w:szCs w:val="24"/>
        </w:rPr>
        <w:t xml:space="preserve"> 1</w:t>
      </w:r>
      <w:r>
        <w:rPr>
          <w:b/>
          <w:bCs/>
          <w:sz w:val="24"/>
          <w:szCs w:val="24"/>
        </w:rPr>
        <w:t xml:space="preserve"> км.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Область применения: строительство автомобильных до</w:t>
      </w:r>
      <w:r>
        <w:rPr>
          <w:sz w:val="24"/>
          <w:szCs w:val="24"/>
        </w:rPr>
        <w:softHyphen/>
        <w:t>рог с асфальтобетонным покрытием во всех климатических зонах СССР.</w:t>
      </w:r>
    </w:p>
    <w:p w:rsidR="002B4629" w:rsidRDefault="002B4629">
      <w:pPr>
        <w:pStyle w:val="2"/>
        <w:spacing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Используемая литература:</w:t>
      </w:r>
    </w:p>
    <w:p w:rsidR="002B4629" w:rsidRDefault="002B4629">
      <w:pPr>
        <w:pStyle w:val="2"/>
        <w:ind w:left="0" w:firstLine="0"/>
        <w:rPr>
          <w:sz w:val="24"/>
          <w:szCs w:val="24"/>
        </w:rPr>
      </w:pPr>
      <w:r>
        <w:rPr>
          <w:sz w:val="24"/>
          <w:szCs w:val="24"/>
        </w:rPr>
        <w:t>1.В.М. Школьников  и И.Б. Бронфин. Нефтепереработка и нефтехимия. 1963.</w:t>
      </w:r>
    </w:p>
    <w:p w:rsidR="002B4629" w:rsidRDefault="002B4629">
      <w:pPr>
        <w:pStyle w:val="2"/>
        <w:ind w:left="0" w:firstLine="0"/>
        <w:rPr>
          <w:sz w:val="24"/>
          <w:szCs w:val="24"/>
        </w:rPr>
      </w:pPr>
      <w:r>
        <w:rPr>
          <w:sz w:val="24"/>
          <w:szCs w:val="24"/>
        </w:rPr>
        <w:t>2.В.М. Школьников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Нефтепереработка и нефтехимия № 2  1964.</w:t>
      </w:r>
    </w:p>
    <w:p w:rsidR="002B4629" w:rsidRDefault="002B4629">
      <w:pPr>
        <w:pStyle w:val="2"/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</w:rPr>
        <w:t>3.Информационный листок № 267-87 УДК 625.855.3 Серия Р.67.09.</w:t>
      </w:r>
      <w:bookmarkStart w:id="0" w:name="_GoBack"/>
      <w:bookmarkEnd w:id="0"/>
    </w:p>
    <w:sectPr w:rsidR="002B4629">
      <w:headerReference w:type="default" r:id="rId7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4629" w:rsidRDefault="002B4629">
      <w:r>
        <w:separator/>
      </w:r>
    </w:p>
  </w:endnote>
  <w:endnote w:type="continuationSeparator" w:id="0">
    <w:p w:rsidR="002B4629" w:rsidRDefault="002B4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4629" w:rsidRDefault="002B4629">
      <w:r>
        <w:separator/>
      </w:r>
    </w:p>
  </w:footnote>
  <w:footnote w:type="continuationSeparator" w:id="0">
    <w:p w:rsidR="002B4629" w:rsidRDefault="002B46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4629" w:rsidRDefault="00E35AC3">
    <w:pPr>
      <w:pStyle w:val="a5"/>
      <w:framePr w:wrap="auto" w:vAnchor="text" w:hAnchor="margin" w:xAlign="center" w:y="1"/>
      <w:rPr>
        <w:rStyle w:val="a7"/>
      </w:rPr>
    </w:pPr>
    <w:r>
      <w:rPr>
        <w:rStyle w:val="a7"/>
        <w:noProof/>
      </w:rPr>
      <w:t>1</w:t>
    </w:r>
  </w:p>
  <w:p w:rsidR="002B4629" w:rsidRDefault="002B462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61F1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0DF38C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4343273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35AC3"/>
    <w:rsid w:val="002B4629"/>
    <w:rsid w:val="00484A97"/>
    <w:rsid w:val="00E35AC3"/>
    <w:rsid w:val="00E56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559E7F7-2A95-4EEA-8BDE-CA2CE391E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line="360" w:lineRule="auto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Body Text 2"/>
    <w:basedOn w:val="a"/>
    <w:link w:val="20"/>
    <w:uiPriority w:val="99"/>
    <w:pPr>
      <w:ind w:left="720" w:hanging="720"/>
    </w:p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3">
    <w:name w:val="Body Text"/>
    <w:basedOn w:val="a"/>
    <w:link w:val="a4"/>
    <w:uiPriority w:val="99"/>
    <w:pPr>
      <w:widowControl w:val="0"/>
      <w:spacing w:before="420"/>
      <w:ind w:right="-22"/>
      <w:jc w:val="center"/>
    </w:pPr>
    <w:rPr>
      <w:b/>
      <w:bCs/>
      <w:sz w:val="28"/>
      <w:szCs w:val="28"/>
    </w:rPr>
  </w:style>
  <w:style w:type="character" w:customStyle="1" w:styleId="a4">
    <w:name w:val="Основной текст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7">
    <w:name w:val="page numb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5782</Words>
  <Characters>3296</Characters>
  <Application>Microsoft Office Word</Application>
  <DocSecurity>0</DocSecurity>
  <Lines>27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Промышленный опыт получения</vt:lpstr>
    </vt:vector>
  </TitlesOfParts>
  <Company>KGB</Company>
  <LinksUpToDate>false</LinksUpToDate>
  <CharactersWithSpaces>9060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Промышленный опыт получения</dc:title>
  <dc:subject/>
  <dc:creator>&lt; Murder &gt;</dc:creator>
  <cp:keywords/>
  <dc:description/>
  <cp:lastModifiedBy>admin</cp:lastModifiedBy>
  <cp:revision>2</cp:revision>
  <dcterms:created xsi:type="dcterms:W3CDTF">2014-01-27T14:36:00Z</dcterms:created>
  <dcterms:modified xsi:type="dcterms:W3CDTF">2014-01-27T14:36:00Z</dcterms:modified>
</cp:coreProperties>
</file>