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DA" w:rsidRPr="00054FE0" w:rsidRDefault="009D67DA" w:rsidP="00054FE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54FE0">
        <w:rPr>
          <w:sz w:val="28"/>
          <w:szCs w:val="32"/>
        </w:rPr>
        <w:t>Министерство образования Российской Федерации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54FE0">
        <w:rPr>
          <w:sz w:val="28"/>
          <w:szCs w:val="32"/>
        </w:rPr>
        <w:t>Пензенский Государственный Университет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54FE0">
        <w:rPr>
          <w:sz w:val="28"/>
          <w:szCs w:val="32"/>
        </w:rPr>
        <w:t>Медицинский Институт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054FE0">
        <w:rPr>
          <w:sz w:val="28"/>
          <w:szCs w:val="32"/>
        </w:rPr>
        <w:t xml:space="preserve">Кафедра </w:t>
      </w:r>
      <w:r w:rsidR="00094040" w:rsidRPr="00054FE0">
        <w:rPr>
          <w:sz w:val="28"/>
          <w:szCs w:val="32"/>
        </w:rPr>
        <w:t>Инфекционных болезней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54FE0">
        <w:rPr>
          <w:sz w:val="28"/>
          <w:szCs w:val="28"/>
        </w:rPr>
        <w:t>Зав. кафедрой д.м.н., -------------------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54FE0">
        <w:rPr>
          <w:b/>
          <w:sz w:val="28"/>
          <w:szCs w:val="36"/>
        </w:rPr>
        <w:t>Реферат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54FE0">
        <w:rPr>
          <w:b/>
          <w:sz w:val="28"/>
          <w:szCs w:val="36"/>
        </w:rPr>
        <w:t>на тему:</w:t>
      </w:r>
    </w:p>
    <w:p w:rsidR="009D67DA" w:rsidRPr="00054FE0" w:rsidRDefault="009D67DA" w:rsidP="00054FE0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054FE0">
        <w:rPr>
          <w:b/>
          <w:sz w:val="28"/>
          <w:szCs w:val="36"/>
        </w:rPr>
        <w:t>«П</w:t>
      </w:r>
      <w:r w:rsidR="00094040" w:rsidRPr="00054FE0">
        <w:rPr>
          <w:b/>
          <w:sz w:val="28"/>
          <w:szCs w:val="36"/>
        </w:rPr>
        <w:t>онос инфекционного генеза</w:t>
      </w:r>
      <w:r w:rsidRPr="00054FE0">
        <w:rPr>
          <w:b/>
          <w:sz w:val="28"/>
          <w:szCs w:val="36"/>
        </w:rPr>
        <w:t>»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54FE0">
        <w:rPr>
          <w:sz w:val="28"/>
          <w:szCs w:val="28"/>
        </w:rPr>
        <w:t xml:space="preserve">Выполнила: студентка </w:t>
      </w:r>
      <w:r w:rsidRPr="00054FE0">
        <w:rPr>
          <w:sz w:val="28"/>
          <w:szCs w:val="28"/>
          <w:lang w:val="en-US"/>
        </w:rPr>
        <w:t>V</w:t>
      </w:r>
      <w:r w:rsidRPr="00054FE0">
        <w:rPr>
          <w:sz w:val="28"/>
          <w:szCs w:val="28"/>
        </w:rPr>
        <w:t xml:space="preserve"> курса ----------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54FE0">
        <w:rPr>
          <w:sz w:val="28"/>
          <w:szCs w:val="28"/>
        </w:rPr>
        <w:t>----------------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54FE0">
        <w:rPr>
          <w:sz w:val="28"/>
          <w:szCs w:val="28"/>
        </w:rPr>
        <w:t>Проверил: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к.м.н., доцент -------------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54FE0">
        <w:rPr>
          <w:sz w:val="28"/>
          <w:szCs w:val="32"/>
        </w:rPr>
        <w:t>Пенза</w:t>
      </w:r>
    </w:p>
    <w:p w:rsidR="009D67DA" w:rsidRPr="00054FE0" w:rsidRDefault="009D67DA" w:rsidP="00054FE0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54FE0">
        <w:rPr>
          <w:sz w:val="28"/>
          <w:szCs w:val="32"/>
        </w:rPr>
        <w:t>2008</w:t>
      </w:r>
    </w:p>
    <w:p w:rsidR="00054FE0" w:rsidRPr="00054FE0" w:rsidRDefault="00054FE0" w:rsidP="00054FE0">
      <w:pPr>
        <w:pStyle w:val="1"/>
        <w:spacing w:line="360" w:lineRule="auto"/>
        <w:ind w:firstLine="709"/>
        <w:rPr>
          <w:b/>
        </w:rPr>
      </w:pPr>
      <w:r>
        <w:rPr>
          <w:szCs w:val="32"/>
        </w:rPr>
        <w:br w:type="page"/>
      </w:r>
      <w:r w:rsidR="009D67DA" w:rsidRPr="00054FE0">
        <w:rPr>
          <w:b/>
          <w:szCs w:val="32"/>
        </w:rPr>
        <w:t>План</w:t>
      </w:r>
    </w:p>
    <w:p w:rsidR="00054FE0" w:rsidRDefault="00054FE0" w:rsidP="00054FE0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  <w:szCs w:val="28"/>
        </w:rPr>
      </w:pPr>
    </w:p>
    <w:p w:rsidR="009D67DA" w:rsidRPr="00054FE0" w:rsidRDefault="00094040" w:rsidP="00054FE0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Дизентерия</w:t>
      </w:r>
    </w:p>
    <w:p w:rsidR="009D67DA" w:rsidRPr="00054FE0" w:rsidRDefault="00094040" w:rsidP="00054FE0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Пищевые токсикоинфекции</w:t>
      </w:r>
    </w:p>
    <w:p w:rsidR="009D67DA" w:rsidRPr="00054FE0" w:rsidRDefault="00094040" w:rsidP="00054FE0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Холера</w:t>
      </w:r>
    </w:p>
    <w:p w:rsidR="00094040" w:rsidRPr="00054FE0" w:rsidRDefault="00094040" w:rsidP="00054FE0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Ротавирусный гастроэнтерит</w:t>
      </w:r>
    </w:p>
    <w:p w:rsidR="009D67DA" w:rsidRPr="00054FE0" w:rsidRDefault="009D67DA" w:rsidP="00054FE0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Литература</w:t>
      </w:r>
    </w:p>
    <w:p w:rsidR="00094040" w:rsidRPr="00054FE0" w:rsidRDefault="00054FE0" w:rsidP="00054FE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094040" w:rsidRPr="00054FE0">
        <w:rPr>
          <w:b/>
          <w:sz w:val="28"/>
          <w:szCs w:val="32"/>
        </w:rPr>
        <w:t>1. ДИЗЕНТЕРИЯ</w:t>
      </w: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Возбудителями дизентерии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являются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4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вида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шигелл;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Sh. </w:t>
      </w:r>
      <w:r w:rsidRPr="00054FE0">
        <w:rPr>
          <w:sz w:val="28"/>
          <w:szCs w:val="28"/>
          <w:lang w:val="en-US"/>
        </w:rPr>
        <w:t>dysenteriae</w:t>
      </w:r>
      <w:r w:rsidRPr="00054FE0">
        <w:rPr>
          <w:sz w:val="28"/>
          <w:szCs w:val="28"/>
        </w:rPr>
        <w:t xml:space="preserve">, </w:t>
      </w:r>
      <w:r w:rsidRPr="00054FE0">
        <w:rPr>
          <w:sz w:val="28"/>
          <w:szCs w:val="28"/>
          <w:lang w:val="en-US"/>
        </w:rPr>
        <w:t>Sh</w:t>
      </w:r>
      <w:r w:rsidRPr="00054FE0">
        <w:rPr>
          <w:sz w:val="28"/>
          <w:szCs w:val="28"/>
        </w:rPr>
        <w:t xml:space="preserve">. </w:t>
      </w:r>
      <w:r w:rsidRPr="00054FE0">
        <w:rPr>
          <w:sz w:val="28"/>
          <w:szCs w:val="28"/>
          <w:lang w:val="en-US"/>
        </w:rPr>
        <w:t>flexneri</w:t>
      </w:r>
      <w:r w:rsidRPr="00054FE0">
        <w:rPr>
          <w:sz w:val="28"/>
          <w:szCs w:val="28"/>
        </w:rPr>
        <w:t xml:space="preserve">, </w:t>
      </w:r>
      <w:r w:rsidRPr="00054FE0">
        <w:rPr>
          <w:sz w:val="28"/>
          <w:szCs w:val="28"/>
          <w:lang w:val="en-US"/>
        </w:rPr>
        <w:t>Sh</w:t>
      </w:r>
      <w:r w:rsidRPr="00054FE0">
        <w:rPr>
          <w:sz w:val="28"/>
          <w:szCs w:val="28"/>
        </w:rPr>
        <w:t xml:space="preserve">. </w:t>
      </w:r>
      <w:r w:rsidRPr="00054FE0">
        <w:rPr>
          <w:sz w:val="28"/>
          <w:szCs w:val="28"/>
          <w:lang w:val="en-US"/>
        </w:rPr>
        <w:t>boydi</w:t>
      </w:r>
      <w:r w:rsidRPr="00054FE0">
        <w:rPr>
          <w:sz w:val="28"/>
          <w:szCs w:val="28"/>
        </w:rPr>
        <w:t xml:space="preserve">, </w:t>
      </w:r>
      <w:r w:rsidRPr="00054FE0">
        <w:rPr>
          <w:sz w:val="28"/>
          <w:szCs w:val="28"/>
          <w:lang w:val="en-US"/>
        </w:rPr>
        <w:t>Sh</w:t>
      </w:r>
      <w:r w:rsidRPr="00054FE0">
        <w:rPr>
          <w:sz w:val="28"/>
          <w:szCs w:val="28"/>
        </w:rPr>
        <w:t xml:space="preserve">. </w:t>
      </w:r>
      <w:r w:rsidRPr="00054FE0">
        <w:rPr>
          <w:sz w:val="28"/>
          <w:szCs w:val="28"/>
          <w:lang w:val="en-US"/>
        </w:rPr>
        <w:t>sonnei</w:t>
      </w:r>
      <w:r w:rsidRPr="00054FE0">
        <w:rPr>
          <w:sz w:val="28"/>
          <w:szCs w:val="28"/>
        </w:rPr>
        <w:t>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Источник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инфекции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- больной человек и бактериовыделитель.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Тяжесть течения болезни во многом определяется видом возбудителя. Наиболее тяжелые формы отмечаются при дизентерии, вызванной бактериями Григорьева - Шиги и Флекснера. Заболевание обычно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начинается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 короткого продромального периода (недомогание, слабость, потеря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аппетита). Вслед за этим повышается температура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тела,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появляются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понос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 схваткообразная боль в животе с характерной локализацией по ходу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сигмовидной кишки. При тяжелых формах болезни температура нередко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повышается до 38-40 ˚С, появляются чувство зябкости, схваткообразная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боль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животе разной интенсивности, чаще локализующаяся в области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сигмовидной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кишки. Больные бледны, адинамичны. Отмечается тахикардия, тоны сердца приглушены, АД резко снижено. Дефекация до 10-15 раз в сутки, иногда значительно чаще. Постепенно стул теряет каловый характер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состоит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из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слизи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или гноя с примесью крови; появляются тенезмы (ложные позывы на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дефекацию). При пальпации живота определяется болезненная спазмированная сигмовидная кишка. При нарастании интоксикации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развивается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инфекционно-токсический шок (падение АД, резчайшая тахикардия, одышка, цианоз, прекращение мочеотделения, нарушение свертывающей-антисвертывающей системы крови -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развитие ДВС-синдрома, снижение температуры тела до субнормальных цифр).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Диагноз и дифференциальный диагноз. Диагностика основывается на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клинических, эпидемиологических и лабораторных данных.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Дизентерию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ряде случаев необходимо дифференцировать от пищевых токсикоинфекций различной этиологии и холеры. Решающую роль 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дифференциальной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диагностике играют данные ректороманоскопии (в дистальном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отделе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кишечника наблюдаются воспалительные и деструктивные изменения разной выраженности - от незначительных катаральных явлений до тяжелых некротических процессов) и обнаружение в фекалиях возбудителя дизентерии.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Неотложная помощь. При нетяжелых формах больных дизентерией можно лечить в домашних условиях.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В качестве этиотропных препаратов используют тетрациклин (по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0,2-</w:t>
      </w:r>
      <w:smartTag w:uri="urn:schemas-microsoft-com:office:smarttags" w:element="metricconverter">
        <w:smartTagPr>
          <w:attr w:name="ProductID" w:val="0,3 г"/>
        </w:smartTagPr>
        <w:r w:rsidRPr="00054FE0">
          <w:rPr>
            <w:sz w:val="28"/>
            <w:szCs w:val="28"/>
          </w:rPr>
          <w:t>0,3 г</w:t>
        </w:r>
      </w:smartTag>
      <w:r w:rsidRPr="00054FE0">
        <w:rPr>
          <w:sz w:val="28"/>
          <w:szCs w:val="28"/>
        </w:rPr>
        <w:t xml:space="preserve"> 4 раза в сутки), левомицитин (по </w:t>
      </w:r>
      <w:smartTag w:uri="urn:schemas-microsoft-com:office:smarttags" w:element="metricconverter">
        <w:smartTagPr>
          <w:attr w:name="ProductID" w:val="0,5 г"/>
        </w:smartTagPr>
        <w:r w:rsidRPr="00054FE0">
          <w:rPr>
            <w:sz w:val="28"/>
            <w:szCs w:val="28"/>
          </w:rPr>
          <w:t>0,5 г</w:t>
        </w:r>
      </w:smartTag>
      <w:r w:rsidRPr="00054FE0">
        <w:rPr>
          <w:sz w:val="28"/>
          <w:szCs w:val="28"/>
        </w:rPr>
        <w:t xml:space="preserve"> 4 раза в сутки), ампициллин (по </w:t>
      </w:r>
      <w:smartTag w:uri="urn:schemas-microsoft-com:office:smarttags" w:element="metricconverter">
        <w:smartTagPr>
          <w:attr w:name="ProductID" w:val="1 г"/>
        </w:smartTagPr>
        <w:r w:rsidRPr="00054FE0">
          <w:rPr>
            <w:sz w:val="28"/>
            <w:szCs w:val="28"/>
          </w:rPr>
          <w:t>1 г</w:t>
        </w:r>
      </w:smartTag>
      <w:r w:rsidRPr="00054FE0">
        <w:rPr>
          <w:sz w:val="28"/>
          <w:szCs w:val="28"/>
        </w:rPr>
        <w:t xml:space="preserve"> 4 раза в сутки) в течение 5-7 дней. Хорошие результаты дают нитрофураны (фуразолидон, фурадонин, фурагин, фуразолин) по </w:t>
      </w:r>
      <w:smartTag w:uri="urn:schemas-microsoft-com:office:smarttags" w:element="metricconverter">
        <w:smartTagPr>
          <w:attr w:name="ProductID" w:val="0,1 г"/>
        </w:smartTagPr>
        <w:r w:rsidRPr="00054FE0">
          <w:rPr>
            <w:sz w:val="28"/>
            <w:szCs w:val="28"/>
          </w:rPr>
          <w:t>0,1 г</w:t>
        </w:r>
      </w:smartTag>
      <w:r w:rsidRPr="00054FE0">
        <w:rPr>
          <w:sz w:val="28"/>
          <w:szCs w:val="28"/>
        </w:rPr>
        <w:t xml:space="preserve"> 4 раза в сутки 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течение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5-7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дней.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Сульфаниламиды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являются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препаратами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выбора (сульфазин, норсульфазол, сульфадимезин и др.), их назначают по 1 г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3-4 раза в сутки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течение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5-7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дней.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инфекционно-токсическом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шоке больному немедленно вводят внутривенно струйно 150-200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мг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преднизолона (за сутки количество введенного преднизолона может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составить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5-10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г), затем последовательно внутривенно - 2-21/2 л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солевого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раствора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("Трисоль", "Квартасоль"), 400 мл гемодеза, 111/2 л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поляризующей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смеси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(5% раствор глюкозы, 12-</w:t>
      </w:r>
      <w:smartTag w:uri="urn:schemas-microsoft-com:office:smarttags" w:element="metricconverter">
        <w:smartTagPr>
          <w:attr w:name="ProductID" w:val="15 г"/>
        </w:smartTagPr>
        <w:r w:rsidRPr="00054FE0">
          <w:rPr>
            <w:sz w:val="28"/>
            <w:szCs w:val="28"/>
          </w:rPr>
          <w:t>15 г</w:t>
        </w:r>
      </w:smartTag>
      <w:r w:rsidRPr="00054FE0">
        <w:rPr>
          <w:sz w:val="28"/>
          <w:szCs w:val="28"/>
        </w:rPr>
        <w:t xml:space="preserve"> хлорида калия, 10-12 ЕД инсулина). Антиферментные препараты (контрикал гордокс) по 10000-20000 ЕД 3-4 раза в сутки, 2 мл 10% раствора сульфакамфокаина внутривенно.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Госпитализация. Госпитализируют больных со среднетяжелыми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тяжелыми формами болезни и по эпидемиологическим показаниям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(работники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питания, дети, посещающие детские дошкольные учреждения, лица, проживающие 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общежитиях) и инфекционные отделения. При лечении больного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дома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проводят текущую дезинфекцию, а за лицами, находившимися 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контакте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больным, устанавливают 7-дневное медицинское наблюдение.</w:t>
      </w: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94040" w:rsidRPr="00054FE0" w:rsidRDefault="00094040" w:rsidP="00054FE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54FE0">
        <w:rPr>
          <w:b/>
          <w:sz w:val="28"/>
          <w:szCs w:val="32"/>
        </w:rPr>
        <w:t>2. ПИЩЕВЫЕ ТОКСИКОИНФЕКЦИИ</w:t>
      </w: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Весьма обширная группа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острых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инфекционных заболеваний, вызываемых видами бактерий из группы Salmonella,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эшерихиями, стафилококками, протеем и многими другими условно патогенными микроорганизмами. Заболевания связаны с употреблением в пищу продуктов, инфицированных бактериями и токсическими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продуктами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жизнедеятельности. Для пищевых токсикоинфекций характерен короткий инкубационный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период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- от 2 до 12-14 часов и с момента употребления недоброкачественной пищи. В зависимости от преимущественного поражения того или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иного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отдела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желудочно-кишечного тракта пищевые токсикоинфекции могут протекать в виде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острого гастрита, гастроэнтерита или гастроэнтерколита.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Заболевание начинается остро с общего недомогания,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тошноты и рвоты съеденной пищей, боли в животе разлитого характера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повышения температуры до 38-39С. несколько позже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появляется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понос.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Стул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обычно сохраняет каловый характер и запах, не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бывает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очень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обильным.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Однако иногда он может стать водянистым, обильным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частым,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потерять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каловый характер. Больных беспокоит жажда, язык суховатый, обложен сероватым налетом. Живот при пальпации безболезнен или умеренно болезнен,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определяется урчание. Размеры печени и селезенки не увеличены. Длительность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болезни обычно 2-5 дней. В ряде случаев при выраженной интоксикации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заболевание может протекать в форме острейшего гастроэнтерита.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Стул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становится водянистым, обильным, частым, нередко развивается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инфекционнотоксический, гиповолемический или смешанный шок. В других случаях шок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развивается лишь при выраженной интоксикации и незначительных желудочно-кишечных расстройствах. Температура тела у больных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снижается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субфебрильных цифр, наблюдается обезвоженность (заострившиеся черты лица,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потеря тургора кожи, сиплый голос, резкое уменьшение или прекращение мочеотделения), появляются выраженная тахикардия, понижение АД, одышка, цианоз кожи и слизистых оболочек. Нередко отмечаются болезненные тонические судороги мышц рук и ног. В крови - высокий лейкоцитоз, увеличение содержания эритроцитов и гемоглобина вследствие сгущения крови.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Диагноз и дифференциальный диагноз. Пищевые токсикоинфекции различной этиологии в ряде случаев необходимо дифференцировать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холеры, дизентерии, ротавирусного гастроэнтерита. Решающее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значение в дифференциальной диагностике имеет обнаружение в рвотных массах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фекалях возбудителя пищевой токсикоинфекции.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Неотложная помощь. При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отсутствии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подозрений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на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инфаркт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миокарда (status gastralgicus) промывают желудок. Для этого больному дают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выпить большое количество (8-10 стаканов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больше)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теплого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слабого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раствора гидрокарбоната натрия (2 чайные ложки пищевой соды на </w:t>
      </w:r>
      <w:smartTag w:uri="urn:schemas-microsoft-com:office:smarttags" w:element="metricconverter">
        <w:smartTagPr>
          <w:attr w:name="ProductID" w:val="1 л"/>
        </w:smartTagPr>
        <w:r w:rsidRPr="00054FE0">
          <w:rPr>
            <w:sz w:val="28"/>
            <w:szCs w:val="28"/>
          </w:rPr>
          <w:t>1 л</w:t>
        </w:r>
      </w:smartTag>
      <w:r w:rsidRPr="00054FE0">
        <w:rPr>
          <w:sz w:val="28"/>
          <w:szCs w:val="28"/>
        </w:rPr>
        <w:t xml:space="preserve"> воды) или теплой воды, слегка подкрашенной перманганатом калия, а затем вызывают рвоту. Промывание желудка можно проводить через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зонд.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Промывание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желудка повторяют до получения чистых промывных вод. Рвотные массы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промывание воды берут на бактериологическое исследование. После промывания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желудка больному дают горячий крепкий чай с сахаром, таблетку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(0,1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г)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кофеина или 20-25 капель кордиамина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внутрь.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многократной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рвоте,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поносе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обезвоживании и выраженной интоксикации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внутривенно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как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можно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раньше вводят 180-200 мг преднизолона, для возмещения потерянной жидкости и солей необходимо немедленно начать струйное внутривенное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введение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теплого (38-40 ˚С) стерильного солевого раствора "Трисоль", содержащего в </w:t>
      </w:r>
      <w:smartTag w:uri="urn:schemas-microsoft-com:office:smarttags" w:element="metricconverter">
        <w:smartTagPr>
          <w:attr w:name="ProductID" w:val="1 л"/>
        </w:smartTagPr>
        <w:r w:rsidRPr="00054FE0">
          <w:rPr>
            <w:sz w:val="28"/>
            <w:szCs w:val="28"/>
          </w:rPr>
          <w:t>1 л</w:t>
        </w:r>
      </w:smartTag>
      <w:r w:rsidRPr="00054FE0">
        <w:rPr>
          <w:sz w:val="28"/>
          <w:szCs w:val="28"/>
        </w:rPr>
        <w:t xml:space="preserve"> апирогенной воды </w:t>
      </w:r>
      <w:smartTag w:uri="urn:schemas-microsoft-com:office:smarttags" w:element="metricconverter">
        <w:smartTagPr>
          <w:attr w:name="ProductID" w:val="5 г"/>
        </w:smartTagPr>
        <w:r w:rsidRPr="00054FE0">
          <w:rPr>
            <w:sz w:val="28"/>
            <w:szCs w:val="28"/>
          </w:rPr>
          <w:t>5 г</w:t>
        </w:r>
      </w:smartTag>
      <w:r w:rsidRPr="00054FE0">
        <w:rPr>
          <w:sz w:val="28"/>
          <w:szCs w:val="28"/>
        </w:rPr>
        <w:t xml:space="preserve"> хлорида натрия, </w:t>
      </w:r>
      <w:smartTag w:uri="urn:schemas-microsoft-com:office:smarttags" w:element="metricconverter">
        <w:smartTagPr>
          <w:attr w:name="ProductID" w:val="4 г"/>
        </w:smartTagPr>
        <w:r w:rsidRPr="00054FE0">
          <w:rPr>
            <w:sz w:val="28"/>
            <w:szCs w:val="28"/>
          </w:rPr>
          <w:t>4 г</w:t>
        </w:r>
      </w:smartTag>
      <w:r w:rsidRPr="00054FE0">
        <w:rPr>
          <w:sz w:val="28"/>
          <w:szCs w:val="28"/>
        </w:rPr>
        <w:t xml:space="preserve"> гидрокарбоната натри, 1 г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хлорида калия. Если не удается венепункция, в тяжелых случаях проводят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венесекцию. Больные с выраженным обезвоживанием и продолжающейся рвотой в течение 1-11/2 и должны получить от 3 до </w:t>
      </w:r>
      <w:smartTag w:uri="urn:schemas-microsoft-com:office:smarttags" w:element="metricconverter">
        <w:smartTagPr>
          <w:attr w:name="ProductID" w:val="5 л"/>
        </w:smartTagPr>
        <w:r w:rsidRPr="00054FE0">
          <w:rPr>
            <w:sz w:val="28"/>
            <w:szCs w:val="28"/>
          </w:rPr>
          <w:t>5 л</w:t>
        </w:r>
      </w:smartTag>
      <w:r w:rsidRPr="00054FE0">
        <w:rPr>
          <w:sz w:val="28"/>
          <w:szCs w:val="28"/>
        </w:rPr>
        <w:t xml:space="preserve"> солевого раствора, определяется количеством потяренной жидкости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рвотными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массами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испражнениями, восстановлением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стабильностью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гемодинамических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показателей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(пульс, АД). При появлении реакции на введение солевого раствора (озноб, повышение температуры тела) жидкость вводят медленнее и дополнительно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внутривенно через инфузионную систему вводят - 90 мг преднизолона, 2%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раствор промедола с 2,5% раствором пипольфена или 1% раствором димедрола (по 1-2 мл). Не следует применять с целью выведения больных из шока </w:t>
      </w:r>
      <w:r w:rsidR="00054FE0" w:rsidRPr="00054FE0">
        <w:rPr>
          <w:sz w:val="28"/>
          <w:szCs w:val="28"/>
        </w:rPr>
        <w:t>сердечнососудистые</w:t>
      </w:r>
      <w:r w:rsidRPr="00054FE0">
        <w:rPr>
          <w:sz w:val="28"/>
          <w:szCs w:val="28"/>
        </w:rPr>
        <w:t xml:space="preserve"> препараты, полиглюкин, плазму, кровь, растворы глюкозы и гипертонические растворы хлорида натрия, Можно короткое время вводить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изотонический раствор хлорида натрия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обязательным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последующим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введением раствора "Трисоль". Антибиотики больным, перенесшим шок, не назначают.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Госпитализация. При сохраняющейся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интоксикации,</w:t>
      </w:r>
      <w:r w:rsidR="00054FE0">
        <w:rPr>
          <w:sz w:val="28"/>
          <w:szCs w:val="28"/>
        </w:rPr>
        <w:t xml:space="preserve"> </w:t>
      </w:r>
      <w:r w:rsidR="00054FE0" w:rsidRPr="00054FE0">
        <w:rPr>
          <w:sz w:val="28"/>
          <w:szCs w:val="28"/>
        </w:rPr>
        <w:t>сердечнососудистой</w:t>
      </w:r>
      <w:r w:rsidRPr="00054FE0">
        <w:rPr>
          <w:sz w:val="28"/>
          <w:szCs w:val="28"/>
        </w:rPr>
        <w:t xml:space="preserve"> слабости, продолжающихся рвоте и поносе больной с пищевой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токсикоинфекцией подлежит госпитализации в инфекционное отделение. Больные должны быть выведены из шока на месте и только после этого их можно госпитализировать.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Перевозят больных специальным транспортом.</w:t>
      </w: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94040" w:rsidRPr="00054FE0" w:rsidRDefault="00094040" w:rsidP="00054FE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54FE0">
        <w:rPr>
          <w:b/>
          <w:sz w:val="28"/>
          <w:szCs w:val="32"/>
        </w:rPr>
        <w:t>3. ХОЛЕРА</w:t>
      </w: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Вызывается двумя разновидностями холерного вибриона -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Vibrio </w:t>
      </w:r>
      <w:r w:rsidRPr="00054FE0">
        <w:rPr>
          <w:sz w:val="28"/>
          <w:szCs w:val="28"/>
          <w:lang w:val="en-US"/>
        </w:rPr>
        <w:t>cholerae</w:t>
      </w:r>
      <w:r w:rsidRPr="00054FE0">
        <w:rPr>
          <w:sz w:val="28"/>
          <w:szCs w:val="28"/>
        </w:rPr>
        <w:t xml:space="preserve"> </w:t>
      </w:r>
      <w:r w:rsidRPr="00054FE0">
        <w:rPr>
          <w:sz w:val="28"/>
          <w:szCs w:val="28"/>
          <w:lang w:val="en-US"/>
        </w:rPr>
        <w:t>asiaticae</w:t>
      </w:r>
      <w:r w:rsidRPr="00054FE0">
        <w:rPr>
          <w:sz w:val="28"/>
          <w:szCs w:val="28"/>
        </w:rPr>
        <w:t xml:space="preserve"> </w:t>
      </w:r>
      <w:r w:rsidRPr="00054FE0">
        <w:rPr>
          <w:sz w:val="28"/>
          <w:szCs w:val="28"/>
          <w:lang w:val="en-US"/>
        </w:rPr>
        <w:t>i</w:t>
      </w:r>
      <w:r w:rsidRPr="00054FE0">
        <w:rPr>
          <w:sz w:val="28"/>
          <w:szCs w:val="28"/>
        </w:rPr>
        <w:t xml:space="preserve"> </w:t>
      </w:r>
      <w:r w:rsidRPr="00054FE0">
        <w:rPr>
          <w:sz w:val="28"/>
          <w:szCs w:val="28"/>
          <w:lang w:val="en-US"/>
        </w:rPr>
        <w:t>Vibrio</w:t>
      </w:r>
      <w:r w:rsidRPr="00054FE0">
        <w:rPr>
          <w:sz w:val="28"/>
          <w:szCs w:val="28"/>
        </w:rPr>
        <w:t xml:space="preserve"> </w:t>
      </w:r>
      <w:r w:rsidRPr="00054FE0">
        <w:rPr>
          <w:sz w:val="28"/>
          <w:szCs w:val="28"/>
          <w:lang w:val="en-US"/>
        </w:rPr>
        <w:t>cholerae</w:t>
      </w:r>
      <w:r w:rsidRPr="00054FE0">
        <w:rPr>
          <w:sz w:val="28"/>
          <w:szCs w:val="28"/>
        </w:rPr>
        <w:t xml:space="preserve"> </w:t>
      </w:r>
      <w:r w:rsidRPr="00054FE0">
        <w:rPr>
          <w:sz w:val="28"/>
          <w:szCs w:val="28"/>
          <w:lang w:val="en-US"/>
        </w:rPr>
        <w:t>EL</w:t>
      </w:r>
      <w:r w:rsidRPr="00054FE0">
        <w:rPr>
          <w:sz w:val="28"/>
          <w:szCs w:val="28"/>
        </w:rPr>
        <w:t>-</w:t>
      </w:r>
      <w:r w:rsidRPr="00054FE0">
        <w:rPr>
          <w:sz w:val="28"/>
          <w:szCs w:val="28"/>
          <w:lang w:val="en-US"/>
        </w:rPr>
        <w:t>Tor</w:t>
      </w:r>
      <w:r w:rsidRPr="00054FE0">
        <w:rPr>
          <w:sz w:val="28"/>
          <w:szCs w:val="28"/>
        </w:rPr>
        <w:t>. Источник инфекции – больные и вибрионосители. Инкубационный период - от нескольких часов до 5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дней. Для холеры характерна клиника острого и острейшего энтерита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гастроэнтерита.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Болезнь начинается остро - с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появления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шока,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которому несколько позже присоединяется рвота. По мере учащения стула испражнения больного теряют каловый характер и запах, становятся водянистыми.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Выделения из кишечника обильны и представляют собой жидкость,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окрашенную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 желтый или зеленый цвет. Реже выделения напоминают рисовый отвар. 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некоторых случаях отмечается примесь слизи и крови. Потеря жидкости с рвотой и поносом быстро приводит к обезвоживанию организма, вследствие чего меняется внешний облик больного: заостряются черты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лица,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кожа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теряет обычный тургор и легко собирается в складки, появляется выраженная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синюшность кожных покровов и слизистых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оболочек.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Отмечается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тахикардия, тоны сердца приглушены, понижается АД, появляется одышка, резко уменьшается мочеотделение. Часто наблюдаются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болезненные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тонические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судороги мышц ног и рук. Пальпация живота безболезненна, при пальпации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определяются урчание и в ряде случаев шум плеска жидкости. Температура тела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остается нормальной.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При продолжающихся поносе и рвоте у больного развивается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гиповолемический шок: температура тела понижается до 35-34 ˚С и ниже, возникает крайняя степень обезвоженности (больной теряет до 12% массы),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которой понос и рвота прекращаются, выражены тахикардия, одышка, падает АД,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окраска кожи приобретает фиолетовый оттенок, тургор кожи снижен, черты лица резко заострившиеся, глаза запавшие, склеры тусклые, видимые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слизистые оболочки сухие, голос слабый, иногда отмечается полная афония; живот втянут, мочеотделение отсутствует. В крови вследствие сгущения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отмечают высокий лейкоцитоз, увеличение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содержания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эритроцитов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гемоглобина. Развиваются ацидоз, гипокалиемия.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Диагноз и дифференциальный диагноз. Холеру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необходимо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дифференцировать от пищевых, токсикоинфекций различной этнологии </w:t>
      </w:r>
      <w:smartTag w:uri="urn:schemas-microsoft-com:office:smarttags" w:element="metricconverter">
        <w:smartTagPr>
          <w:attr w:name="ProductID" w:val="9 см"/>
        </w:smartTagPr>
        <w:r w:rsidRPr="00054FE0">
          <w:rPr>
            <w:sz w:val="28"/>
            <w:szCs w:val="28"/>
          </w:rPr>
          <w:t>9 см</w:t>
        </w:r>
      </w:smartTag>
      <w:r w:rsidRPr="00054FE0">
        <w:rPr>
          <w:sz w:val="28"/>
          <w:szCs w:val="28"/>
        </w:rPr>
        <w:t>.), ротавирусного гастроэнтерита, дизентерии. Решающее значение в дифференциальной диагностике имеет обнаружение в рвотных массах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фекалиях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холерного вибриона.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Противоэпидемические меры. Установление диагноза холеры или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подозрение на нее требует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проведения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ряда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противоэпидемических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мероприятий. Важны эпидемиологические данные (проживание больного в . местности, неблагополучной по холере, или приезд из этой местности, контакт с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больным холерой или вибриононосителем в течение последней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недели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заболевания). Больной с подозрением на холеру должен быть немедленно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госпитализирован. При выявлении больного на дому, в гостинице, на транспорте врач или фельдшер до его госпитализации принимает меры к изоляции больного от окружающих лиц и немедленно сообщает о заболевшем главному врачу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своего учреждения. Главный врач в свою очередь ставит в известность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случившемся санитарно-эпидемиологическую станцию и отдел (районный, городской) здравоохранения. Одновременно врач составляет список всех лиц,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соприкасавшихся с больным по дому, гостинице, на транспорте. После госпитализации больного их помещают в изолятор. В помещении, где находился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больной холерой, после его госпитализации проводят заключительную дезинфекцию.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Неотложная помощь. Лечение больных холерой проводят в больнице, однако в ряде случаев по жизненным показаниям оно может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быть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начато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дома. При развивщемся гиповолемическом шоке (тахикардия, низкое АД, 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ряде случаев отсутствие пульса и АД, одышка, цианоз кожных покровов и слизистых оболочек, анурия, выраженное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обезвоживание,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понижение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температуры тела до субнормальных цифр) для возмещения потерянной жидкости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солей больному немедленно вводят струйно внутривенно теплый (38-40% стерильный солевой раствор "Трисоль". Если невозможно сделать венепункцию, проводят венесекцию. В течение первого часа больным с гиповолемическим шоком вводят солевой раствор в количестве, равном 10% массы тела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(например,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при массе тела больного </w:t>
      </w:r>
      <w:smartTag w:uri="urn:schemas-microsoft-com:office:smarttags" w:element="metricconverter">
        <w:smartTagPr>
          <w:attr w:name="ProductID" w:val="80 кг"/>
        </w:smartTagPr>
        <w:r w:rsidRPr="00054FE0">
          <w:rPr>
            <w:sz w:val="28"/>
            <w:szCs w:val="28"/>
          </w:rPr>
          <w:t>80 кг</w:t>
        </w:r>
      </w:smartTag>
      <w:r w:rsidRPr="00054FE0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8 л"/>
        </w:smartTagPr>
        <w:r w:rsidRPr="00054FE0">
          <w:rPr>
            <w:sz w:val="28"/>
            <w:szCs w:val="28"/>
          </w:rPr>
          <w:t>8 л</w:t>
        </w:r>
      </w:smartTag>
      <w:r w:rsidRPr="00054FE0">
        <w:rPr>
          <w:sz w:val="28"/>
          <w:szCs w:val="28"/>
        </w:rPr>
        <w:t xml:space="preserve"> раствора), после чего, не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вынимая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иглы из вены, переходят на капельное введение раствора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скоростью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80-100 капель в минуту. В дальнейшем объем вводимого солевого раствора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определяется количеством потерянной с рвотными массами и испражнениями жидкости. Для этого все испражнения и рвотные массы собирают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суммируют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их объем (например, если за 2 и больной потерял </w:t>
      </w:r>
      <w:smartTag w:uri="urn:schemas-microsoft-com:office:smarttags" w:element="metricconverter">
        <w:smartTagPr>
          <w:attr w:name="ProductID" w:val="3 л"/>
        </w:smartTagPr>
        <w:r w:rsidRPr="00054FE0">
          <w:rPr>
            <w:sz w:val="28"/>
            <w:szCs w:val="28"/>
          </w:rPr>
          <w:t>3 л</w:t>
        </w:r>
      </w:smartTag>
      <w:r w:rsidRPr="00054FE0">
        <w:rPr>
          <w:sz w:val="28"/>
          <w:szCs w:val="28"/>
        </w:rPr>
        <w:t xml:space="preserve"> жидкости, ему необходимо ввести за этот период такое же количество солевого раствора).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За первые сутки больной должен получить 10-15, а в отдельных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случаях даже </w:t>
      </w:r>
      <w:smartTag w:uri="urn:schemas-microsoft-com:office:smarttags" w:element="metricconverter">
        <w:smartTagPr>
          <w:attr w:name="ProductID" w:val="40 л"/>
        </w:smartTagPr>
        <w:r w:rsidRPr="00054FE0">
          <w:rPr>
            <w:sz w:val="28"/>
            <w:szCs w:val="28"/>
          </w:rPr>
          <w:t>40 л</w:t>
        </w:r>
      </w:smartTag>
      <w:r w:rsidRPr="00054FE0">
        <w:rPr>
          <w:sz w:val="28"/>
          <w:szCs w:val="28"/>
        </w:rPr>
        <w:t xml:space="preserve"> раствора. Капельное введение раствора продолжают до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прекращения поноса и восстановления мочеотделения. Непрерывное введение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растворов продолжают 2-3, реже 3-4 суток. Общий объем раствора, вводимого за 3-4 дня лечения взрослому больному, может составить 30 - </w:t>
      </w:r>
      <w:smartTag w:uri="urn:schemas-microsoft-com:office:smarttags" w:element="metricconverter">
        <w:smartTagPr>
          <w:attr w:name="ProductID" w:val="100 л"/>
        </w:smartTagPr>
        <w:r w:rsidRPr="00054FE0">
          <w:rPr>
            <w:sz w:val="28"/>
            <w:szCs w:val="28"/>
          </w:rPr>
          <w:t>100 л</w:t>
        </w:r>
      </w:smartTag>
      <w:r w:rsidRPr="00054FE0">
        <w:rPr>
          <w:sz w:val="28"/>
          <w:szCs w:val="28"/>
        </w:rPr>
        <w:t>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При появлении неприятных ощущений в области сердца, замедлении пульса и нарушения предсердно-желудочковой проводимости (удлинение интервала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 - Q на ЭКГ), что связано с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гиперкалимией,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раствор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"Трисоль"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заменяют раствором "Дисоль" (</w:t>
      </w:r>
      <w:smartTag w:uri="urn:schemas-microsoft-com:office:smarttags" w:element="metricconverter">
        <w:smartTagPr>
          <w:attr w:name="ProductID" w:val="1 л"/>
        </w:smartTagPr>
        <w:r w:rsidRPr="00054FE0">
          <w:rPr>
            <w:sz w:val="28"/>
            <w:szCs w:val="28"/>
          </w:rPr>
          <w:t>1 л</w:t>
        </w:r>
      </w:smartTag>
      <w:r w:rsidRPr="00054FE0">
        <w:rPr>
          <w:sz w:val="28"/>
          <w:szCs w:val="28"/>
        </w:rPr>
        <w:t xml:space="preserve"> апирогенной воды, </w:t>
      </w:r>
      <w:smartTag w:uri="urn:schemas-microsoft-com:office:smarttags" w:element="metricconverter">
        <w:smartTagPr>
          <w:attr w:name="ProductID" w:val="8 г"/>
        </w:smartTagPr>
        <w:r w:rsidRPr="00054FE0">
          <w:rPr>
            <w:sz w:val="28"/>
            <w:szCs w:val="28"/>
          </w:rPr>
          <w:t>8 г</w:t>
        </w:r>
      </w:smartTag>
      <w:r w:rsidRPr="00054FE0">
        <w:rPr>
          <w:sz w:val="28"/>
          <w:szCs w:val="28"/>
        </w:rPr>
        <w:t xml:space="preserve"> хлорида натрия, </w:t>
      </w:r>
      <w:smartTag w:uri="urn:schemas-microsoft-com:office:smarttags" w:element="metricconverter">
        <w:smartTagPr>
          <w:attr w:name="ProductID" w:val="4 г"/>
        </w:smartTagPr>
        <w:r w:rsidRPr="00054FE0">
          <w:rPr>
            <w:sz w:val="28"/>
            <w:szCs w:val="28"/>
          </w:rPr>
          <w:t>4 г</w:t>
        </w:r>
      </w:smartTag>
      <w:r w:rsidRPr="00054FE0">
        <w:rPr>
          <w:sz w:val="28"/>
          <w:szCs w:val="28"/>
        </w:rPr>
        <w:t xml:space="preserve"> гидрокарбоната натрия). При устранении этих явлений вновь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назначают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раствор "Трисоль". В случае реакции на вливание солевых растворов (озноб,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повышение температуры тела) жидкость вводят медленнее и дополнительно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внутривенно через инфузионную систему вводят - К)-90 мг преднизолона, 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при необходимости 2% раствор промедола с 2,5% раствором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пипольфена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или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1% раствором димедрола (по 12 мл). После взятия рвотных масс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испражнений для бактериологического исследования и прекращения рвоты назначают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тетрациклин внутрь по </w:t>
      </w:r>
      <w:smartTag w:uri="urn:schemas-microsoft-com:office:smarttags" w:element="metricconverter">
        <w:smartTagPr>
          <w:attr w:name="ProductID" w:val="0,3 г"/>
        </w:smartTagPr>
        <w:r w:rsidRPr="00054FE0">
          <w:rPr>
            <w:sz w:val="28"/>
            <w:szCs w:val="28"/>
          </w:rPr>
          <w:t>0,3 г</w:t>
        </w:r>
      </w:smartTag>
      <w:r w:rsidRPr="00054FE0">
        <w:rPr>
          <w:sz w:val="28"/>
          <w:szCs w:val="28"/>
        </w:rPr>
        <w:t xml:space="preserve"> 4 раза в день в течение 5 суток.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Применение сердечно-сосудистых препаратов, полиглюкина, плазмы,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крови, растворов глюкозы (в том числе изотонического раствора) и гипертонических растворов хлорида натрия для выведения больных из шокового состояния не рекомендуется. Как исключение можно короткое время вводить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изотонический раствор хлорида натрия с обязательным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последующим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введением солевого раствора "Трисоль". После восстановления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объема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циркулирующей крови (у больного появится пульс, начнет определяться АД) можно по показаниям применять сердечно-сосудистые средства.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Госпитализация срочная в инфекционное отделение специальным транспортом, после чего транспорт подвергается дезинфекции.</w:t>
      </w: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94040" w:rsidRPr="00054FE0" w:rsidRDefault="00094040" w:rsidP="00054FE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54FE0">
        <w:rPr>
          <w:b/>
          <w:sz w:val="28"/>
          <w:szCs w:val="32"/>
        </w:rPr>
        <w:t>4. РОТАВИРУСНЫЙ ГАСТРОЭНТЕРИТ</w:t>
      </w:r>
    </w:p>
    <w:p w:rsidR="00054FE0" w:rsidRDefault="00054FE0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Возбудитель - ротавирус. Носителем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выделителем ротавируса человека является только человек.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Заболевание после короткого (в среднем 48 часов) инкубационного периода начинается остро с появлением рвоты, поноса и боли " животе.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При тяжелом течении стул многократный, обильный, водянистый,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желтого или белого цвета. Характерна повторная рвота. Боль в животе имеет постоянный характер и длится 1-2 дня. Одновременно быстро нарастают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мышечная слабость, адинамия, головная боль. АД значительно снижено, пульс частый, слабого наполнения. Мочеотделение уменьшено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или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отсутствует.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У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1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/3 больных отмечается повышение температуры тела до 38 ˚С, которое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продолжается 1-3 дня. С первого дня болезни наблюдаются сухость слизистых оболочек полости рта, гиперемия конъюнктивы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инъекция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сосудов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склер.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При пальпации живота выявляется грубое урчание, размеры печении селезенки не увеличены. Обезвоживание резко выражено. При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нарастании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обезвоживания, связанного с потерей жидкости, может развиться гиповолемический шок (падение АД, резчайная тахикардия, одышка, цианоз, прекращение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мочеотделения, снижение температуры тела до субнормальных цифр).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Диагноз и дифференциальный диагноз. Диагностика ротавирусного гастроэнтерита базируется на данных клинических, эпидемиологических 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лабораторных исследований. В ряде случаев болезнь необходимо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дифференцировать от холеры, пищевой токсикоинфекция, дизентерии.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Неотложная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помощь.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Больных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ротавирусным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гастроэнтеритом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лечат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 больнице и только в редких случаях по жизненным показаниям терапия может быть начата на дому. При гиповолемическом шоке (тахикардия, низкое АД, а в ряде случаев отсутствие пульса и АД, одышка, цианоз кожных покровов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 слизистых оболочек, анурия, выраженное обезвоживание, понижение температуры тела до субнормальных цифр) для возмещения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потерянной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жидкости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 солей немедленно струино внутривенно вводят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теплый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(38-40%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стерильный солевой раствор "Трисоль". В течение первого часа больным с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гиповолемическим шоком вводят солевой раствор в количестве, равном 10% массы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тела (например, при массе тела больного </w:t>
      </w:r>
      <w:smartTag w:uri="urn:schemas-microsoft-com:office:smarttags" w:element="metricconverter">
        <w:smartTagPr>
          <w:attr w:name="ProductID" w:val="80 кг"/>
        </w:smartTagPr>
        <w:r w:rsidRPr="00054FE0">
          <w:rPr>
            <w:sz w:val="28"/>
            <w:szCs w:val="28"/>
          </w:rPr>
          <w:t>80 кг</w:t>
        </w:r>
      </w:smartTag>
      <w:r w:rsidRPr="00054FE0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8 л"/>
        </w:smartTagPr>
        <w:r w:rsidRPr="00054FE0">
          <w:rPr>
            <w:sz w:val="28"/>
            <w:szCs w:val="28"/>
          </w:rPr>
          <w:t>8 л</w:t>
        </w:r>
      </w:smartTag>
      <w:r w:rsidRPr="00054FE0">
        <w:rPr>
          <w:sz w:val="28"/>
          <w:szCs w:val="28"/>
        </w:rPr>
        <w:t xml:space="preserve"> раствора), после чего, не вынимая иглы из вены, переходят на капельное введение раствора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скоростью 80-100 капель в минуту. В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дальнейшем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объем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вводимого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солевого раствора определяется количеством потерянной с рвотными массами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испражнениями жидкости. Для этого все испражнения и рвотные массы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собирают и суммируют их объем (например, если за 2 часа и больной потерял 3 л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жидкости, ему необходимо ввести за этот период такое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же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количество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солевого раствора). Общий объем введенной внутривенно жидкости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может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 xml:space="preserve">составлять </w:t>
      </w:r>
      <w:smartTag w:uri="urn:schemas-microsoft-com:office:smarttags" w:element="metricconverter">
        <w:smartTagPr>
          <w:attr w:name="ProductID" w:val="10 л"/>
        </w:smartTagPr>
        <w:r w:rsidRPr="00054FE0">
          <w:rPr>
            <w:sz w:val="28"/>
            <w:szCs w:val="28"/>
          </w:rPr>
          <w:t>10 л</w:t>
        </w:r>
      </w:smartTag>
      <w:r w:rsidRPr="00054FE0">
        <w:rPr>
          <w:sz w:val="28"/>
          <w:szCs w:val="28"/>
        </w:rPr>
        <w:t xml:space="preserve"> и более.</w:t>
      </w:r>
    </w:p>
    <w:p w:rsidR="009D67DA" w:rsidRPr="00054FE0" w:rsidRDefault="009D67DA" w:rsidP="00054FE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4FE0">
        <w:rPr>
          <w:sz w:val="28"/>
          <w:szCs w:val="28"/>
        </w:rPr>
        <w:t>Госпитализация. Больных ротавирусным гастроэнтеритом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госпитализируют в инфекционное отделение специальным транспортом, после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чего</w:t>
      </w:r>
      <w:r w:rsidR="00054FE0">
        <w:rPr>
          <w:sz w:val="28"/>
          <w:szCs w:val="28"/>
        </w:rPr>
        <w:t xml:space="preserve"> </w:t>
      </w:r>
      <w:r w:rsidRPr="00054FE0">
        <w:rPr>
          <w:sz w:val="28"/>
          <w:szCs w:val="28"/>
        </w:rPr>
        <w:t>транспорт подвергается дезинфекции.</w:t>
      </w:r>
    </w:p>
    <w:p w:rsidR="009D67DA" w:rsidRPr="00054FE0" w:rsidRDefault="00054FE0" w:rsidP="00054FE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D67DA" w:rsidRPr="00054FE0">
        <w:rPr>
          <w:b/>
          <w:sz w:val="28"/>
          <w:szCs w:val="32"/>
        </w:rPr>
        <w:t>ЛИТЕРАТУРА</w:t>
      </w:r>
    </w:p>
    <w:p w:rsidR="00054FE0" w:rsidRPr="00054FE0" w:rsidRDefault="00054FE0" w:rsidP="00054FE0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9D67DA" w:rsidRPr="00054FE0" w:rsidRDefault="009D67DA" w:rsidP="00054FE0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054FE0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054FE0">
        <w:rPr>
          <w:iCs/>
          <w:sz w:val="28"/>
          <w:szCs w:val="28"/>
        </w:rPr>
        <w:t>Перевод с английского д-ра мед. наук В.И.Кандрора,</w:t>
      </w:r>
      <w:r w:rsidRPr="00054FE0">
        <w:rPr>
          <w:sz w:val="28"/>
        </w:rPr>
        <w:t xml:space="preserve"> </w:t>
      </w:r>
      <w:r w:rsidRPr="00054FE0">
        <w:rPr>
          <w:iCs/>
          <w:sz w:val="28"/>
          <w:szCs w:val="28"/>
        </w:rPr>
        <w:t>д. м. н. М.В.Неверовой, д-ра мед. наук А.В.Сучкова,</w:t>
      </w:r>
      <w:r w:rsidRPr="00054FE0">
        <w:rPr>
          <w:sz w:val="28"/>
        </w:rPr>
        <w:t xml:space="preserve"> </w:t>
      </w:r>
      <w:r w:rsidRPr="00054FE0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054FE0" w:rsidRPr="00054FE0" w:rsidRDefault="009D67DA" w:rsidP="00054FE0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054FE0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054FE0" w:rsidRPr="00054FE0" w:rsidSect="00054FE0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51" w:rsidRDefault="009E6D51">
      <w:r>
        <w:separator/>
      </w:r>
    </w:p>
  </w:endnote>
  <w:endnote w:type="continuationSeparator" w:id="0">
    <w:p w:rsidR="009E6D51" w:rsidRDefault="009E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040" w:rsidRDefault="00094040" w:rsidP="005A4217">
    <w:pPr>
      <w:pStyle w:val="a4"/>
      <w:framePr w:wrap="around" w:vAnchor="text" w:hAnchor="margin" w:xAlign="right" w:y="1"/>
      <w:rPr>
        <w:rStyle w:val="a6"/>
      </w:rPr>
    </w:pPr>
  </w:p>
  <w:p w:rsidR="00094040" w:rsidRDefault="00094040" w:rsidP="000940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51" w:rsidRDefault="009E6D51">
      <w:r>
        <w:separator/>
      </w:r>
    </w:p>
  </w:footnote>
  <w:footnote w:type="continuationSeparator" w:id="0">
    <w:p w:rsidR="009E6D51" w:rsidRDefault="009E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7DA"/>
    <w:rsid w:val="00054FE0"/>
    <w:rsid w:val="00094040"/>
    <w:rsid w:val="00333145"/>
    <w:rsid w:val="005A4217"/>
    <w:rsid w:val="008C20C9"/>
    <w:rsid w:val="008E3383"/>
    <w:rsid w:val="0097708E"/>
    <w:rsid w:val="009D67DA"/>
    <w:rsid w:val="009E6D51"/>
    <w:rsid w:val="00A748DE"/>
    <w:rsid w:val="00E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4968B3-74A0-4E53-8681-3256DE5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7DA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D67DA"/>
  </w:style>
  <w:style w:type="paragraph" w:styleId="a4">
    <w:name w:val="footer"/>
    <w:basedOn w:val="a"/>
    <w:link w:val="a5"/>
    <w:uiPriority w:val="99"/>
    <w:rsid w:val="000940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94040"/>
    <w:rPr>
      <w:rFonts w:cs="Times New Roman"/>
    </w:rPr>
  </w:style>
  <w:style w:type="paragraph" w:styleId="a7">
    <w:name w:val="header"/>
    <w:basedOn w:val="a"/>
    <w:link w:val="a8"/>
    <w:uiPriority w:val="99"/>
    <w:rsid w:val="00054F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54F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2014-02-25T07:21:00Z</dcterms:created>
  <dcterms:modified xsi:type="dcterms:W3CDTF">2014-02-25T07:21:00Z</dcterms:modified>
</cp:coreProperties>
</file>