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10" w:rsidRPr="00DD7342" w:rsidRDefault="00DD6C10" w:rsidP="00DD7342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D7342">
        <w:rPr>
          <w:sz w:val="28"/>
          <w:szCs w:val="32"/>
        </w:rPr>
        <w:t>Министерство образования Российской Федерации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D7342">
        <w:rPr>
          <w:sz w:val="28"/>
          <w:szCs w:val="32"/>
        </w:rPr>
        <w:t>Пензенский Государственный Университет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D7342">
        <w:rPr>
          <w:sz w:val="28"/>
          <w:szCs w:val="32"/>
        </w:rPr>
        <w:t>Медицинский Институт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DD7342">
        <w:rPr>
          <w:sz w:val="28"/>
          <w:szCs w:val="32"/>
        </w:rPr>
        <w:t xml:space="preserve">Кафедра </w:t>
      </w:r>
      <w:r w:rsidR="00FB60D7" w:rsidRPr="00DD7342">
        <w:rPr>
          <w:sz w:val="28"/>
          <w:szCs w:val="32"/>
        </w:rPr>
        <w:t>Терап</w:t>
      </w:r>
      <w:r w:rsidRPr="00DD7342">
        <w:rPr>
          <w:sz w:val="28"/>
          <w:szCs w:val="32"/>
        </w:rPr>
        <w:t>ии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D7342">
        <w:rPr>
          <w:sz w:val="28"/>
          <w:szCs w:val="28"/>
        </w:rPr>
        <w:t>Зав. кафедрой д.м.н., -------------------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DD7342">
        <w:rPr>
          <w:b/>
          <w:sz w:val="28"/>
          <w:szCs w:val="36"/>
        </w:rPr>
        <w:t>Реферат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DD7342">
        <w:rPr>
          <w:b/>
          <w:sz w:val="28"/>
          <w:szCs w:val="36"/>
        </w:rPr>
        <w:t>на тему:</w:t>
      </w:r>
    </w:p>
    <w:p w:rsidR="00DD6C10" w:rsidRPr="00DD7342" w:rsidRDefault="00DD6C10" w:rsidP="00DD7342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DD7342">
        <w:rPr>
          <w:b/>
          <w:sz w:val="28"/>
          <w:szCs w:val="36"/>
        </w:rPr>
        <w:t>«</w:t>
      </w:r>
      <w:r w:rsidR="00C113A6" w:rsidRPr="00DD7342">
        <w:rPr>
          <w:b/>
          <w:sz w:val="28"/>
          <w:szCs w:val="36"/>
        </w:rPr>
        <w:t>Понос</w:t>
      </w:r>
      <w:r w:rsidR="00FB60D7" w:rsidRPr="00DD7342">
        <w:rPr>
          <w:b/>
          <w:sz w:val="28"/>
          <w:szCs w:val="36"/>
        </w:rPr>
        <w:t xml:space="preserve"> как один из симптомов заболеваний</w:t>
      </w:r>
      <w:r w:rsidRPr="00DD7342">
        <w:rPr>
          <w:b/>
          <w:sz w:val="28"/>
          <w:szCs w:val="36"/>
        </w:rPr>
        <w:t>»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D7342">
        <w:rPr>
          <w:sz w:val="28"/>
          <w:szCs w:val="28"/>
        </w:rPr>
        <w:t xml:space="preserve">Выполнила: студентка </w:t>
      </w:r>
      <w:r w:rsidRPr="00DD7342">
        <w:rPr>
          <w:sz w:val="28"/>
          <w:szCs w:val="28"/>
          <w:lang w:val="en-US"/>
        </w:rPr>
        <w:t>V</w:t>
      </w:r>
      <w:r w:rsidRPr="00DD7342">
        <w:rPr>
          <w:sz w:val="28"/>
          <w:szCs w:val="28"/>
        </w:rPr>
        <w:t xml:space="preserve"> курса ----------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D7342">
        <w:rPr>
          <w:sz w:val="28"/>
          <w:szCs w:val="28"/>
        </w:rPr>
        <w:t>----------------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D7342">
        <w:rPr>
          <w:sz w:val="28"/>
          <w:szCs w:val="28"/>
        </w:rPr>
        <w:t>Проверил: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к.м.н., доцент -------------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342" w:rsidRP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D7342">
        <w:rPr>
          <w:sz w:val="28"/>
          <w:szCs w:val="32"/>
        </w:rPr>
        <w:t>Пенза</w:t>
      </w:r>
    </w:p>
    <w:p w:rsidR="00DD6C10" w:rsidRPr="00DD7342" w:rsidRDefault="00DD6C10" w:rsidP="00DD7342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D7342">
        <w:rPr>
          <w:sz w:val="28"/>
          <w:szCs w:val="32"/>
        </w:rPr>
        <w:t>2008</w:t>
      </w:r>
    </w:p>
    <w:p w:rsidR="00DD6C10" w:rsidRPr="00DD7342" w:rsidRDefault="00DD7342" w:rsidP="00DD7342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DD6C10" w:rsidRPr="00DD7342">
        <w:rPr>
          <w:b/>
          <w:szCs w:val="32"/>
        </w:rPr>
        <w:t>План</w:t>
      </w:r>
    </w:p>
    <w:p w:rsidR="00DD7342" w:rsidRDefault="00DD7342" w:rsidP="00DD7342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60D7" w:rsidRPr="00DD7342" w:rsidRDefault="00FB60D7" w:rsidP="00DD7342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Введение</w:t>
      </w:r>
    </w:p>
    <w:p w:rsidR="00DD6C10" w:rsidRPr="00DD7342" w:rsidRDefault="00FB60D7" w:rsidP="00DD7342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Этиология</w:t>
      </w:r>
    </w:p>
    <w:p w:rsidR="00DD6C10" w:rsidRPr="00DD7342" w:rsidRDefault="00FB60D7" w:rsidP="00DD7342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Основные факторы поноса</w:t>
      </w:r>
    </w:p>
    <w:p w:rsidR="00DD6C10" w:rsidRPr="00DD7342" w:rsidRDefault="00FB60D7" w:rsidP="00DD7342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Неотложная помощь</w:t>
      </w:r>
    </w:p>
    <w:p w:rsidR="00FB60D7" w:rsidRPr="00DD7342" w:rsidRDefault="00FB60D7" w:rsidP="00DD7342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Госпитализация</w:t>
      </w:r>
    </w:p>
    <w:p w:rsidR="00DD6C10" w:rsidRPr="00DD7342" w:rsidRDefault="00DD6C10" w:rsidP="00DD7342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Литература</w:t>
      </w:r>
    </w:p>
    <w:p w:rsidR="00DD6C10" w:rsidRPr="00DD7342" w:rsidRDefault="00DD7342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B60D7" w:rsidRPr="00DD7342">
        <w:rPr>
          <w:b/>
          <w:sz w:val="28"/>
          <w:szCs w:val="32"/>
        </w:rPr>
        <w:t>ВВЕДЕНИЕ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Понос (диарея) - учащенное или однократное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опорожнение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кишечника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с выделением каловых масс. Понос может быть проявлением заболеваний кишечника или других органов или систем. </w:t>
      </w:r>
    </w:p>
    <w:p w:rsidR="00FB60D7" w:rsidRPr="00DD7342" w:rsidRDefault="00DD7342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B60D7" w:rsidRPr="00DD7342">
        <w:rPr>
          <w:b/>
          <w:sz w:val="28"/>
          <w:szCs w:val="32"/>
        </w:rPr>
        <w:t>1. ЭТИОЛОГИЯ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Среди заболеваний кишечника, 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клинической картине которых диарея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является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ведущим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симптомом,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выделяют следующие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группы:</w:t>
      </w:r>
      <w:r w:rsidR="00DD7342">
        <w:rPr>
          <w:sz w:val="28"/>
          <w:szCs w:val="28"/>
        </w:rPr>
        <w:t xml:space="preserve">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1)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инфекционные: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а)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острые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(дизентерия,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холера, сальмонеллез и др.), б) хронические (туберкулез, сифилис кишечника);</w:t>
      </w:r>
      <w:r w:rsidR="00DD7342">
        <w:rPr>
          <w:sz w:val="28"/>
          <w:szCs w:val="28"/>
        </w:rPr>
        <w:t xml:space="preserve">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2) протозойные инвазии (амебиаз, балантидиаз, лямблиоз, трихомоноз 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др.);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3) гельминтозы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(аскаридоз,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энтеробиоз,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трихинеллез,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стронгилоидоз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и др.);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4) неспецифические воспалительные процессы (энтерит,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энтероколит язвенный колит, болезнь Крона, дивертикулит и др.);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 xml:space="preserve">5) дисбактериоз (осложнение антибактериальной терапии, микозы, бродильная и гнилостная диспепсия);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6) дистрофические изменения кишечной стенки (амилоидоз,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кишечная липодистрофия, целиакия-спру, экссудативная энтеропатия, коллагенозы и др.); </w:t>
      </w:r>
    </w:p>
    <w:p w:rsidR="00FB60D7" w:rsidRPr="00DD7342" w:rsidRDefault="00FB60D7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7</w:t>
      </w:r>
      <w:r w:rsidR="00DD6C10" w:rsidRPr="00DD7342">
        <w:rPr>
          <w:sz w:val="28"/>
          <w:szCs w:val="28"/>
        </w:rPr>
        <w:t>) токсические воздействия (уремия,</w:t>
      </w:r>
      <w:r w:rsidR="00DD7342">
        <w:rPr>
          <w:sz w:val="28"/>
          <w:szCs w:val="28"/>
        </w:rPr>
        <w:t xml:space="preserve"> </w:t>
      </w:r>
      <w:r w:rsidR="00DD6C10" w:rsidRPr="00DD7342">
        <w:rPr>
          <w:sz w:val="28"/>
          <w:szCs w:val="28"/>
        </w:rPr>
        <w:t>отравление</w:t>
      </w:r>
      <w:r w:rsidR="00DD7342">
        <w:rPr>
          <w:sz w:val="28"/>
          <w:szCs w:val="28"/>
        </w:rPr>
        <w:t xml:space="preserve"> </w:t>
      </w:r>
      <w:r w:rsidR="00DD6C10" w:rsidRPr="00DD7342">
        <w:rPr>
          <w:sz w:val="28"/>
          <w:szCs w:val="28"/>
        </w:rPr>
        <w:t>солями</w:t>
      </w:r>
      <w:r w:rsidR="00DD7342">
        <w:rPr>
          <w:sz w:val="28"/>
          <w:szCs w:val="28"/>
        </w:rPr>
        <w:t xml:space="preserve"> </w:t>
      </w:r>
      <w:r w:rsidR="00DD6C10" w:rsidRPr="00DD7342">
        <w:rPr>
          <w:sz w:val="28"/>
          <w:szCs w:val="28"/>
        </w:rPr>
        <w:t xml:space="preserve">тяжелых металлов, алкоголизм, медикаментозная интоксикация);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8)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новообразования (рак и диффузный полипоз толстой кишки, лимфогранулематоз,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лимфосаркома кишечника);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 xml:space="preserve">9) состояния, приводящие к уменьшению всасывательной поверхности кишечника (резекция толстой кишки, желудочно-толстокишечные и тонко-толстокишечные фистулы); </w:t>
      </w:r>
    </w:p>
    <w:p w:rsidR="00FB60D7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10)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функциональные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расстройства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кишечника (синдром раздраженной кишки, дискинезии кишечника, состояние после стволовой ваготомии);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11) кишечные энзимопатии (врожденное или приобретенное нарушение переваривания и всасывания дисахаридов, лактазная 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дисахаридазная недостаточность).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Диарея может возникать при заболеваниях других органов 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систем:</w:t>
      </w:r>
      <w:r w:rsidR="00DD7342">
        <w:rPr>
          <w:sz w:val="28"/>
          <w:szCs w:val="28"/>
        </w:rPr>
        <w:t xml:space="preserve">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1) болезнях желудка, сопровождающихся снижением секреторной функции (хронический атрофический гастрит, рак, постгастрорезекционные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расстройства);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2) болезнях поджелудочной железы, приводящих к снижению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внешнесекреторной функции органа (хронические панкреатиты, опухоли);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3) болезнях печени и желчных путей, осложняющихся ахолией (вследствие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развития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механической желтухи);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 xml:space="preserve">4) болезнях почек, сопровождающихся уремией;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5) болезнях эндокринных желез (сахарный диабет, тиреотоксикоз, аддисонизм и др.) и гормонально-активных опухолях (карциноид, гастринома или синдром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Золлингера - Эллисона, синдром Вернера - Моррисона или панкреатическамя холера и др.);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6) коллагеновых заболеваниях (системная склеродермия,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дерматомиозити др.);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 xml:space="preserve">7) авитаминозах (пеллагра, бери-бери и др.);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 xml:space="preserve">8) аллергических реакциях; 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9) неврозах.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B60D7" w:rsidRPr="00DD7342" w:rsidRDefault="00FB60D7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D7342">
        <w:rPr>
          <w:b/>
          <w:sz w:val="28"/>
          <w:szCs w:val="32"/>
        </w:rPr>
        <w:t>2. ОСНОВНЫЕ ФАКТОРЫ ПОНОСА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Основные патогенетические механизмы диареи сводятся к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двум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основным факторам: это ускоренный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пассаж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содержимого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кишечнику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вследствие нервных и гуморальных воздействий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(раздражения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интрамуральных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нервных сплетений или нарушения центральной регуляции кишечной моторики)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замедленное всасывание жидкости из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просвета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вследствие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нарушения проницаемости кишечной стенки и резких сдвигов в регуляции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осмотических процессов в кишечнике.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При поносе всасывание воды и электролитов обычно снижено, секреторная функция кишечника может быть повышена, моторная активность его, особенно дистальных отделов толстой кишки, чаще снижена.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ряде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случаев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понос обусловлен усилением пропульсивной кишечной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моторики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(при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воздействии некоторых психогенных факторов). При диарее опорожнение кишечника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может быть однократным или многократным в течение суток, обильным 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скудным в зависимости от причины, вызвавшей понос, а также от локализации основного патологического процесса в кишечнике.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С целью уточнения причины поноса необходимо выяснить частоту и характер стула во время позывов к дефекации, наличие тенезмов, возраст, в котором возникла диарея, частоту и длительность ремиссий, влияние болезни на работоспособность и массу тела больного, перенесенные в прошлом операции и заболевания.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Внезапно начавшийся бурный понос с частым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стулом и тенезмами,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прежде всего, подозрителен на острые кишечные инфекции. В ряде случаев остро начавшийся понос может быть обусловлен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изменениями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пищевого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режима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или приемом раздражающих кишечник средств (в том числе слабительных) 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же является первым признаком хронических неспецифических заболеваний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кишки и ее функциональных расстройств. Нередко дифференциально-диагностическое значение имеет уточнение времени суток, в которое у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больного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возникает понос. Ночная диарея почти всегда оказывается органической, 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диарея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 утренние часы может быть чаще функциональной.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Частота стула при поносе может быть различной - от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однократных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испражнений до многократных, по нескольку десятков раз в сутки. У больных с поражением тонкой кишки (энтеритом) стул ниже, чем при колите.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Наиболее частый стул наблюдается при поражении дистального отдела толстой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кишки. Большой разовый объем кала бывает только у больных с нормальной функцией дистального отдела толстой кишки. Патологический процесс при этом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локализуется в тонкой кишке либо 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проксимальном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ее отделе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характерен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для больных энтеритом, хроническим панкреатитом. У этих больных не отмечается ни императивных позывов к дефектами, ни тенезмов во время дефекации.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Понос при поражении дистальных отделов толстой кишки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характеризуется частыми и императивными позывами к дефекации, малым разовым объемом кала, часто содержанием в нем крови и слизи.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Это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чаще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всего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наблюдается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у больных колитом, у которых количество кала обычно скудное.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При поражении тонкой кишки нарушается всасывание пищевых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веществ,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 результате чего в проксимальные отделы толстой кишки поступает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больший, чем обычно объем химуса. Если резервуарная функция толстой кишки не изменена, то частота стула у больного не превышает 2-3 раза в сутки. Однако суточный и разовый объем, и масса стула оказываются значительно больше нормального.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Болевые ощущения при поражениях тонкой кишки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локализуются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всегда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 околопупочной области. Поражение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проксимальных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отделов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толстой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кишки сопровождается болью чаще всего в правой подвздошной области с усилением после еды. При поражении дистальных отделов толстой кишки боль локализуется в левой подвздошной области с иррадиацией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крестец.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Она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значительно ослабевает после дефекации или отхождении газов. В некоторых случаях понос чередуется с запором, чаще при функциональных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расстройствах злоупотреблении слабительными средствами, при раке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толстой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кишки,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при хроническом (привычном) запоре, когда вследствие длительного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пребывания каловых масс в кишечнике происходит повышенное образование слизи с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выделением жидких испражнений.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Ценную диагностическую информацию можно получить при учете симптомов, сопутствующих диарее. Так, тенезмы, возникающие до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после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дефекации, чаще наблюдаются при поражении дистальных отделов толстой кишки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(язвенный колит, рак и полипоз, дизентерия и др.),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непрекращающийся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понос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 кратковременными "приливами" (пурпурное окрашивание лица) характерен для карциноидного синдрома, понос со вздутием и урчанием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для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энтероколита; при диарее, обусловленной патологией эндокринных желез, выявляются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другие признаки эндокринопатий; понос при коллагеновых болезнях сопровождается характерными изменениями кожи, внутренних органовб опорно-связочного аппарата и др.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Значительную помощь в дифференциальной диагностике оказывают осмотр и исследование кала. Светлые и пенистые испражнения без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примеси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слизи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 крови типичны для бродильной, а кашицеобразные или жидкие темно-коричневые с острым гнилостным запахом для гнилостной слизи может быть при остром или хроническом энтероколите. При ряде патологических состояний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изменяется цвет кала, который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определяется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качественным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составом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пищи, степенью ее обработки ферментами, наличием примесей. Обесцвеченные беловато-серые испражнения бывают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ахолии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(обусловленной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механической желтухой), иногда такой цвет приобретает кал при обильной примеси гноя и слизи. Дегтеобразные испражнения появляются при кровотечении из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верхних отделов пищеварительного тракта, при кровотечении из дистальных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отделов кал имеет ярко-красный или темно-красный оттенок. Черный цвет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кала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характерен для отравления ртутью. Окраска испражнений изменяется при приеме некоторых лекарств, содержащих висмут,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активированный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уголь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др. (викалин, аллохол, карболен и т.п.). Примесь в кале видимых непереваренных остатков пищи может свидетельствовать о резком ускорении прохождения пищи по желудочно-кишечному тракту, что чаще наблюдается при энтероколите, после резекции тонкой кишки и при свищах пищеварительного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тракта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 реже при функциональных расстройствах кишечника 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секреторной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недостаточности желудка или поджелудочной железы.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При тяжелой острой диарее со значительной потерей воды и электролитов за короткий промежуток времени могут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появиться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признаки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обезвоживания организма и нарушения кровообращения.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Диагноз. Выяснение причины поноса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иногда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связано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значительными трудностями. При остром поносе ведущее значение приобретают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эпидемиологические данные и результаты бактериологического исследования кала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(при подозрении на кишечные инфекции). Во всех остальных случаях для установления диагноза нередко необходимо полное обследование больного: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пальцевое исследование прямой кишки, ректороманоскопия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колоноскопия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 показаниям) с прицельной биописией, рентгенологическое исследование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пищеварительного тракта (включая ирригоскопию), лабораторное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исследование кала.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B60D7" w:rsidRPr="00DD7342" w:rsidRDefault="00FB60D7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D7342">
        <w:rPr>
          <w:b/>
          <w:sz w:val="28"/>
          <w:szCs w:val="32"/>
        </w:rPr>
        <w:t>3. НЕОТЛОЖНАЯ ПОМОЩЬ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Обычно за помощью при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поносе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обращаются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лишь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 случаях многократного обильного опорожнения кишечника, сопровождающегося резким упадком сил, плохим самочувствием, повышением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температуры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тела, сильной болью в животе или появлением в испражнениях значительной примеси крови.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При острой диарее назначают симптоматическую терапию: 1)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антидиарейные средства, 2) голод, диету; 3) восполнение потерь жидкости и электролитов, а также мероприятиях, направленные на лечение основного заболевания. Из противопоносных средств назначают по 0,3 г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дерматола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вместе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8 г"/>
        </w:smartTagPr>
        <w:r w:rsidRPr="00DD7342">
          <w:rPr>
            <w:sz w:val="28"/>
            <w:szCs w:val="28"/>
          </w:rPr>
          <w:t>0,3 г</w:t>
        </w:r>
      </w:smartTag>
      <w:r w:rsidRPr="00DD7342">
        <w:rPr>
          <w:sz w:val="28"/>
          <w:szCs w:val="28"/>
        </w:rPr>
        <w:t xml:space="preserve"> карооната кальция 3 раза в день, реасек по 1 - 2 таблетки 3 раза в день. При диарее с повышенной моторной функцией толстой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кишки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(императивных позывах) применяют антихолинергические средства: атропина сульфат в 0,1% растворе подкожно 0,5-1 мл или внутрь по 8-10 капель либо 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таблетках по 0,5 мг 2-3 раза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сутки;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препараты,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содержащие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белладонну (таблетки "Бекарбон", "Бесалол", "Бепасал", "Беллалгин) и др. 2-3 раза в день), метацин (0,1% раствор под кожу - 1 - 2 мл 2-3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раза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день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или таблетки - по 2 мг 2-3 раза в сутки), платифиллин (подкожно 1-2 мл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0,2% раствора, внутрь 10-15 капель 0,5% раствора или таблетки по 5 мг 2-3 раза в день).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тяжелых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случаях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необходима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коррекция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водно-электролитных расстройств, потому что чем более выражена диарея, тем в большей степени электролитный состав кала приближается к составу плазмы крови. Для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возмещения потерянной жидкости и электролитов (в тяжелых случаях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многократном водянистом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поносе)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следует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немедленно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струйно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внутривенно ввести теплый (38-400 стерильный солевой раствор Филлипса N 1 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любой другой изотонический солевой раствор из расчета 2/3 изотонического раствора хлорида натрия на 1/34,5% гидрокарбоната натрия. Если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дегидратация начала выходить за рамки острого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процесса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целесообразно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добавить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1% раствор хлорида калия с содержанием калия до +/- </w:t>
      </w:r>
      <w:smartTag w:uri="urn:schemas-microsoft-com:office:smarttags" w:element="metricconverter">
        <w:smartTagPr>
          <w:attr w:name="ProductID" w:val="8 г"/>
        </w:smartTagPr>
        <w:r w:rsidRPr="00DD7342">
          <w:rPr>
            <w:sz w:val="28"/>
            <w:szCs w:val="28"/>
          </w:rPr>
          <w:t>8 г</w:t>
        </w:r>
      </w:smartTag>
      <w:r w:rsidRPr="00DD7342">
        <w:rPr>
          <w:sz w:val="28"/>
          <w:szCs w:val="28"/>
        </w:rPr>
        <w:t>. Однако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калий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рекомендуется вводить только после того, как диурез станет близким к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норме. В дальнейшем при проведении подобной терапии необходимо ежедневно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контролировать экскрецию калия с мочой. Для поддержания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водного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равновесия больной должен получать 5% раствор глюкозы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500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мл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каждые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+/- 8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часов. Больным с выраженным обезвоживанием в продолжающейся жидкой диареей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необходимо ввести в течение 11 /2-2 и от 3 до 5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л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жидкостей.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Более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4/5 этого объема в виде неколлоидных растворов (соли и глюкоза)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 1/5 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виде плазмы или (в крайнем случае) плазмозаменителей.</w:t>
      </w: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При лечении хронической диареи рекомендуются адсорбенты и другие препараты, повышающие вязкость кишечного содержимого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(карбонат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кальция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 сочетании с препаратами висмута, особенно с дерматолом). В ряде случаев, даже при отсутствии признаков секреторной недостаточности желудка и поджелудочной железы, хороший эффект дают ферментные препараты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(панзинорм, фестал, панкурмен, трифермент, абомин по 1 - 2 таблетки 3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-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4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раза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в день). При длительном поносе неинфекционной природы изменяется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кишечная микрофлора (дисбактериоз), возникают признаки суперинфекции, поэтому целесообразно включать в терапию производные 8-оксихинолина (энтеросептол, интестопан по 1-2 таблетки 3-4 раза в день), а также трудноадсорбируемые сульфаниламиды (бисептол, салазопиридазин и др.). Диета зависит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от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основного заболевания.</w:t>
      </w:r>
    </w:p>
    <w:p w:rsidR="00FB60D7" w:rsidRPr="00DD7342" w:rsidRDefault="00FB60D7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DD7342">
        <w:rPr>
          <w:b/>
          <w:sz w:val="28"/>
          <w:szCs w:val="32"/>
        </w:rPr>
        <w:t>4. ГОСПИТАЛИЗАЦИЯ</w:t>
      </w:r>
    </w:p>
    <w:p w:rsid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C10" w:rsidRPr="00DD7342" w:rsidRDefault="00DD6C10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7342">
        <w:rPr>
          <w:sz w:val="28"/>
          <w:szCs w:val="28"/>
        </w:rPr>
        <w:t>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случаях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тяжелой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острой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диареи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 xml:space="preserve">выраженного обострения хронического поноса при явлениях интоксикации, обезвоживания, </w:t>
      </w:r>
      <w:r w:rsidR="00DD7342" w:rsidRPr="00DD7342">
        <w:rPr>
          <w:sz w:val="28"/>
          <w:szCs w:val="28"/>
        </w:rPr>
        <w:t>сердечнососудистой</w:t>
      </w:r>
      <w:r w:rsidRPr="00DD7342">
        <w:rPr>
          <w:sz w:val="28"/>
          <w:szCs w:val="28"/>
        </w:rPr>
        <w:t xml:space="preserve"> слабости необходима госпитализация больного в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терапевтическое отделение (при исключении инфекционного заболевания). Госпитализация больных с хроническим поносом осуществляется в плановом порядке в специализированное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(гастроэнтерологическое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или</w:t>
      </w:r>
      <w:r w:rsidR="00DD7342">
        <w:rPr>
          <w:sz w:val="28"/>
          <w:szCs w:val="28"/>
        </w:rPr>
        <w:t xml:space="preserve"> </w:t>
      </w:r>
      <w:r w:rsidRPr="00DD7342">
        <w:rPr>
          <w:sz w:val="28"/>
          <w:szCs w:val="28"/>
        </w:rPr>
        <w:t>проктологическое) отделение.</w:t>
      </w:r>
    </w:p>
    <w:p w:rsidR="00DD6C10" w:rsidRPr="00DD7342" w:rsidRDefault="00DD7342" w:rsidP="00DD73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D6C10" w:rsidRPr="00DD7342">
        <w:rPr>
          <w:b/>
          <w:sz w:val="28"/>
          <w:szCs w:val="32"/>
        </w:rPr>
        <w:t>ЛИТЕРАТУРА</w:t>
      </w:r>
    </w:p>
    <w:p w:rsidR="00DD7342" w:rsidRPr="00DD7342" w:rsidRDefault="00DD7342" w:rsidP="00DD734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D6C10" w:rsidRPr="00DD7342" w:rsidRDefault="00DD6C10" w:rsidP="00DD7342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D7342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D7342">
        <w:rPr>
          <w:iCs/>
          <w:sz w:val="28"/>
          <w:szCs w:val="28"/>
        </w:rPr>
        <w:t>Перевод с английского д-ра мед. наук В.И.Кандрора,</w:t>
      </w:r>
      <w:r w:rsidRPr="00DD7342">
        <w:rPr>
          <w:sz w:val="28"/>
        </w:rPr>
        <w:t xml:space="preserve"> </w:t>
      </w:r>
      <w:r w:rsidRPr="00DD7342">
        <w:rPr>
          <w:iCs/>
          <w:sz w:val="28"/>
          <w:szCs w:val="28"/>
        </w:rPr>
        <w:t>д. м. н. М.В.Неверовой, д-ра мед. наук А.В.Сучкова,</w:t>
      </w:r>
      <w:r w:rsidRPr="00DD7342">
        <w:rPr>
          <w:sz w:val="28"/>
        </w:rPr>
        <w:t xml:space="preserve"> </w:t>
      </w:r>
      <w:r w:rsidRPr="00DD7342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DD6C10" w:rsidRPr="00DD7342" w:rsidRDefault="00DD6C10" w:rsidP="00DD7342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DD7342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D6C10" w:rsidRPr="00DD7342" w:rsidSect="00DD734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A2" w:rsidRDefault="006736A2">
      <w:r>
        <w:separator/>
      </w:r>
    </w:p>
  </w:endnote>
  <w:endnote w:type="continuationSeparator" w:id="0">
    <w:p w:rsidR="006736A2" w:rsidRDefault="0067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D7" w:rsidRDefault="00FB60D7" w:rsidP="002F7E24">
    <w:pPr>
      <w:pStyle w:val="a4"/>
      <w:framePr w:wrap="around" w:vAnchor="text" w:hAnchor="margin" w:xAlign="right" w:y="1"/>
      <w:rPr>
        <w:rStyle w:val="a6"/>
      </w:rPr>
    </w:pPr>
  </w:p>
  <w:p w:rsidR="00FB60D7" w:rsidRDefault="00FB60D7" w:rsidP="00FB60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A2" w:rsidRDefault="006736A2">
      <w:r>
        <w:separator/>
      </w:r>
    </w:p>
  </w:footnote>
  <w:footnote w:type="continuationSeparator" w:id="0">
    <w:p w:rsidR="006736A2" w:rsidRDefault="0067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C10"/>
    <w:rsid w:val="002F7E24"/>
    <w:rsid w:val="00326786"/>
    <w:rsid w:val="00527AC3"/>
    <w:rsid w:val="006736A2"/>
    <w:rsid w:val="007D18B2"/>
    <w:rsid w:val="009147D0"/>
    <w:rsid w:val="00C113A6"/>
    <w:rsid w:val="00DD6C10"/>
    <w:rsid w:val="00DD734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054BA0-7B5A-4341-83AD-42723565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C10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D6C10"/>
  </w:style>
  <w:style w:type="paragraph" w:styleId="a4">
    <w:name w:val="footer"/>
    <w:basedOn w:val="a"/>
    <w:link w:val="a5"/>
    <w:uiPriority w:val="99"/>
    <w:rsid w:val="00FB60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B60D7"/>
    <w:rPr>
      <w:rFonts w:cs="Times New Roman"/>
    </w:rPr>
  </w:style>
  <w:style w:type="paragraph" w:styleId="a7">
    <w:name w:val="header"/>
    <w:basedOn w:val="a"/>
    <w:link w:val="a8"/>
    <w:uiPriority w:val="99"/>
    <w:rsid w:val="00DD73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D73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2014-02-25T07:21:00Z</dcterms:created>
  <dcterms:modified xsi:type="dcterms:W3CDTF">2014-02-25T07:21:00Z</dcterms:modified>
</cp:coreProperties>
</file>