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12" w:rsidRDefault="00E95212" w:rsidP="007C31EC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7C31EC">
        <w:rPr>
          <w:rFonts w:ascii="Times New Roman" w:hAnsi="Times New Roman"/>
          <w:b/>
          <w:sz w:val="20"/>
          <w:szCs w:val="20"/>
        </w:rPr>
        <w:t>Понятие и функциональное значение ликвидности банка. Роль Банка России в регулировании деятельности коммерческих банков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Ликвидность коммерческого банка – одно из ключевых понятий банковской деятельности, характеризующее надежность банка, а также доверие к нему клиентов.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В силу многоаспектного характера и значения для коммерческого банка ликвидность можно рассматривать как способность коммерческого банка отвечать по всем своим обязательствам перед контрагентами своевременно и в полном объеме, а также как условие и показатель функционирования коммерческого банка. Первая часть данного определения, а именно способность коммерческого банка выполнять все свои обязательства своевременно и в полном объеме, создает условия для нормального функционирования коммерческого банка. В то же время эта способность является характеристикой успешности или неуспешности деятельности коммерческого банка. Ликвидность – это индикатор здоровья банка, и возникновение проблем с ликвидностью является первым симптомом его нарушения.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Функциональное значение банковской ликвидности выражается в следующем:</w:t>
      </w:r>
    </w:p>
    <w:p w:rsidR="00686742" w:rsidRPr="007C31EC" w:rsidRDefault="00686742" w:rsidP="007C31EC">
      <w:pPr>
        <w:widowControl w:val="0"/>
        <w:numPr>
          <w:ilvl w:val="0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Банковская ликвидность призвана удовлетворять денежный спрос со стороны клиентов, производящих платежи по своим счетам и/или выступающих с просьбой получения кредита, а также удовлетворять требования вкладчиков в случае изъятия ими своих вкладов (депозитов).</w:t>
      </w:r>
    </w:p>
    <w:p w:rsidR="00686742" w:rsidRPr="007C31EC" w:rsidRDefault="00686742" w:rsidP="007C31EC">
      <w:pPr>
        <w:widowControl w:val="0"/>
        <w:numPr>
          <w:ilvl w:val="0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Банковская ликвидность взаимосвязана с репутацией банка, и, соответственно, если у банка не существует проблем с ликвидностью, это, безусловно, является привлекательным для клиентов, стремящихся избегать риска недобросовестности со стороны кредитного учреждения в осуществлении клиентских платежей.</w:t>
      </w:r>
    </w:p>
    <w:p w:rsidR="00686742" w:rsidRPr="007C31EC" w:rsidRDefault="00686742" w:rsidP="007C31EC">
      <w:pPr>
        <w:widowControl w:val="0"/>
        <w:numPr>
          <w:ilvl w:val="0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Банковская ликвидность предоставляет банку возможность не осуществлять "горящих" продаж активов и таким образом предотвращает убыточные или неприбыльные операции.</w:t>
      </w:r>
    </w:p>
    <w:p w:rsidR="00686742" w:rsidRPr="007C31EC" w:rsidRDefault="00686742" w:rsidP="007C31EC">
      <w:pPr>
        <w:widowControl w:val="0"/>
        <w:numPr>
          <w:ilvl w:val="0"/>
          <w:numId w:val="1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Ликвидность служит ограничителем размера премии за риск неуплаты по привлекаемым банком средствам.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В мировой банковской теории и практике ликвидность принято рассматривать как запас и поток. Ликвидность, как запас, включает в себя определение уровня возможности коммерческого банка выполнять свои обязательства перед клиентами в определенный конкретный момент времени путем изменения структуры активов в пользу их высоколиквидных статей за счет имеющихся в этой области неиспользованных резервов.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Ликвидность, как поток, анализируется с точки зрения динамики, что предполагает оценку способности коммерческого банка в течение определенного периода времени измерять сложившийся неблагоприятный уровень ликвидности или предотвращать ухудшение достигнутого, объективно необходимого уровня ликвидности (сохранять его) за счет эффективного управления соответствующими статьями активов и пассивов, привлечения дополнительных заемных средств, повышения финансовой устойчивости банка путем роста доходов.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Действующая в России банковская надзорная практика основывается на анализе ликвидности как запаса. Именно так ликвидность трактуется в Инструкции Банка России от 16.01.2004 г. № 110-И "Об обязательных нормативах банков".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ЦБ РФ, как надзорный орган, призван обеспечивать достаточный уровень ликвидности банковской системы, с этой целью он устанавливает нормативы, обязательные для исполнения каждым коммерческим банком, а также разрабатывает различные рекомендации по управлению ликвидностью в коммерческом банке.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В настоящее время Банком России установлены следующие нормативы в части регулирования ликвидности: нормативы мгновенной, текущей и долгосрочной ликвидности.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Норматив мгновенной ликвидности (Н2) регулирует (ограничивает) риск потери банком ликвидности в течение одного операционного дня, и определяется как отношение суммы высоколиквидных активов к сумме обязательств банка до востребования: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Н2 = высоколиквидные активы / обязательства до востребования.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Под высоколиквидными активами понимаются финансовые активы, которые должны быть получены в течение ближайшего календарного дня и/или в случае необходимости реализованы банком в целях незамедлительного получения денежных средств. Минимально допустимое числовое значение норматива Н2 установлено в размере 15%. Норматив текущей ликвидности (Н3) регулирует риск потери банком ликвидности в течение ближайших к дате расчета норматива 30 календарных дней и определяется как отношение суммы ликвидных активов к сумме обязательств кредитной организации по счетам до востребования и на срок до 30 дней.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Н3 = ликвидные активы (востребованные в течение 30 дней)/обязательства до востребования и до 30 дней.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Минимально допустимое значение норматива Н3 установлено в размере 50%.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Норматив долгосрочной ликвидности (Н4) призван регулировать риск потери банком ликвидности в результате размещения средств в долгосрочные активы и представляет собой отношение кредитных требований банка сроком погашения свыше года к собственному капиталу банка, а также обязательства банка сроком погашения свыше 1 года.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Н4 = долгосрочная задолженность свыше 1 года/капитал банка + обязательства свыше 1 года.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Максимально допустимое значение норматива Н4 – 120%.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Кроме установления нормативов ликвидность коммерческих банков регулируется письмом Банка России "О рекомендациях по анализу ликвидности кредитных организаций" от 27.07.2000 г. № 139-Т. Данный документ акцентирует внимание территориальных учреждений Банка России и коммерческих банков на значении эффективного управления ликвидностью и контроля за нею, качестве процедур принятия решений, влияющих на состояние ликвидности.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Важным условием эффективного управления ликвидностью в коммерческом банке рассматривается наличие внутреннего документа о политике в области управления и контроля за состоянием ликвидности. Организация контроля за соблюдением требований документа предполагается в рамках существующей в банках системы внутреннего контроля.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В соответствии с нормативными требованиями ЦБ РФ документ о политике по управлению и оценке ликвидности в коммерческом банке должен включать в себя следующие основные элементы:</w:t>
      </w:r>
    </w:p>
    <w:p w:rsidR="00686742" w:rsidRPr="007C31EC" w:rsidRDefault="00686742" w:rsidP="007C31EC">
      <w:pPr>
        <w:widowControl w:val="0"/>
        <w:numPr>
          <w:ilvl w:val="0"/>
          <w:numId w:val="2"/>
        </w:numPr>
        <w:tabs>
          <w:tab w:val="clear" w:pos="1429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наличие руководящих органов банка, непосредственно ответственных за разработку и реализацию политики по управлению ликвидностью;</w:t>
      </w:r>
    </w:p>
    <w:p w:rsidR="00686742" w:rsidRPr="007C31EC" w:rsidRDefault="00686742" w:rsidP="007C31EC">
      <w:pPr>
        <w:widowControl w:val="0"/>
        <w:numPr>
          <w:ilvl w:val="0"/>
          <w:numId w:val="2"/>
        </w:numPr>
        <w:tabs>
          <w:tab w:val="clear" w:pos="1429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порядок составления прогноза состояния ликвидности на ближайшую перспективу;</w:t>
      </w:r>
    </w:p>
    <w:p w:rsidR="00686742" w:rsidRPr="007C31EC" w:rsidRDefault="00686742" w:rsidP="007C31EC">
      <w:pPr>
        <w:widowControl w:val="0"/>
        <w:numPr>
          <w:ilvl w:val="0"/>
          <w:numId w:val="2"/>
        </w:numPr>
        <w:tabs>
          <w:tab w:val="clear" w:pos="1429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анализ состояния ликвидности на определенный момент времени, в том числе состояния требований и обязательств банка с учетом сроков их исполнения, а также в целом выполнения обязательных нормативов мгновенной, текущей и долгосрочной ликвидности;</w:t>
      </w:r>
    </w:p>
    <w:p w:rsidR="00686742" w:rsidRPr="007C31EC" w:rsidRDefault="00686742" w:rsidP="007C31EC">
      <w:pPr>
        <w:widowControl w:val="0"/>
        <w:numPr>
          <w:ilvl w:val="0"/>
          <w:numId w:val="2"/>
        </w:numPr>
        <w:tabs>
          <w:tab w:val="clear" w:pos="1429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процедуры, направленные на соблюдение необходимого уровня ликвидности, выполнение обязательных нормативов с учетом вероятности возникновения внешних факторов, которые могут оказать негативное влияние на деятельность банка в ближайшей перспективе;</w:t>
      </w:r>
    </w:p>
    <w:p w:rsidR="00686742" w:rsidRPr="007C31EC" w:rsidRDefault="00686742" w:rsidP="007C31EC">
      <w:pPr>
        <w:widowControl w:val="0"/>
        <w:numPr>
          <w:ilvl w:val="0"/>
          <w:numId w:val="2"/>
        </w:numPr>
        <w:tabs>
          <w:tab w:val="clear" w:pos="1429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процедуры принятия решений при возникновении противоречия интересов между требованием соблюдения должного уровня ликвидности и необходимостью повышения уровня прибыльности работы банка.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C31EC">
        <w:rPr>
          <w:rFonts w:ascii="Times New Roman" w:hAnsi="Times New Roman"/>
          <w:sz w:val="20"/>
          <w:szCs w:val="20"/>
        </w:rPr>
        <w:t>Цель рассматриваемого документа ЦБ РФ - добиться от кредитных организаций создания реального механизма управления ликвидностью.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7C31EC">
        <w:rPr>
          <w:rFonts w:ascii="Arial" w:hAnsi="Arial" w:cs="Arial"/>
          <w:b/>
          <w:sz w:val="20"/>
          <w:szCs w:val="20"/>
        </w:rPr>
        <w:t>4. Регулирование ликвидности кредитных организаций Банком России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C31EC">
        <w:rPr>
          <w:rFonts w:ascii="Arial" w:hAnsi="Arial" w:cs="Arial"/>
          <w:sz w:val="20"/>
          <w:szCs w:val="20"/>
        </w:rPr>
        <w:t>Если банк не в состоянии получить в достаточном объеме кредиты на межбанковском рынке, он прибегает к кредитам ЦБ РФ. Предоставление банкам, оказавшимся в проблемной ситуации, краткосрочной ликвидности обеспечивает сохранение к ним доверия вкладчиков.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C31EC">
        <w:rPr>
          <w:rFonts w:ascii="Arial" w:hAnsi="Arial" w:cs="Arial"/>
          <w:sz w:val="20"/>
          <w:szCs w:val="20"/>
        </w:rPr>
        <w:t>Сегодня фактически единственным источником ликвидности на МБК является Центробанк, дающий рынку поддержку в виде „коротких" денег, которые банками либо переводятся в валютные активы, либо направляются на рефинансирование текущих заложенностей. Для того чтобы на рынке вновь появились длинные кредиты, необходимы новые источники ликвидности. К сожалению, в условиях глобального финансового кризиса ожидать появления новых значимых по объемам и срокам источников ликвидности не приходится", — рассуждает член правления ОАО "Сведбанк" Алексей Аксенов [12].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C31EC">
        <w:rPr>
          <w:rFonts w:ascii="Arial" w:hAnsi="Arial" w:cs="Arial"/>
          <w:sz w:val="20"/>
          <w:szCs w:val="20"/>
        </w:rPr>
        <w:t>В результате финансового кризиса, по мнению аналитиков, в выигрышном положении оказались только крупные структуры, судьба остальных — слияния и поглощения. "В условиях кризиса на фоне ужесточения кредитных условий и роста конкуренции постепенно активизируются процессы консолидации банковского сектора. Количество российских банков с 1 января 2008 по 1 августа 2009 года сократилось на 99 и составило 1 197", — отмечает главный экономист УК "Финам Менеджмент" Александр Осин [11]. В условиях кризиса усилились позиции наиболее крупных банков, которые, как следствие, располагают более доступными и дешевыми ресурсами рефинансирования деятельности.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C31EC">
        <w:rPr>
          <w:rFonts w:ascii="Arial" w:hAnsi="Arial" w:cs="Arial"/>
          <w:sz w:val="20"/>
          <w:szCs w:val="20"/>
        </w:rPr>
        <w:t>Кредиты, обеспеченные залогом (блокировкой) ценных бумаг, предоставляются Банком России в целях поддержания и регулирования ликвидности банковской системы. К числу таких кредитов относятся внутридневные кредиты, кредиты овернайт и ломбардные кредиты. Общим условием предоставления названных кредитов является заключение между банком-заёмщиком и Банком России генерального кредитного договора, определяющего порядок кредитования. При заключении этого договора банк-заёмщик самостоятельно выбирает, какими видами кредитов Банка России он будет пользоваться. В качестве обеспечения используется залог (блокировка) ценных бумаг, включенных в Ломбардный список. Наличие достаточного обеспечения и соблюдение условий кредитования позволяет банку получить несколько кредитов Банка России, в том числе в течение одного рабочего дня.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C31EC">
        <w:rPr>
          <w:rFonts w:ascii="Arial" w:hAnsi="Arial" w:cs="Arial"/>
          <w:sz w:val="20"/>
          <w:szCs w:val="20"/>
        </w:rPr>
        <w:t xml:space="preserve">К банку - потенциальному заемщику предъявляется ряд требований: он должен быть отнесен к </w:t>
      </w:r>
      <w:r w:rsidRPr="007C31EC">
        <w:rPr>
          <w:rFonts w:ascii="Arial" w:hAnsi="Arial" w:cs="Arial"/>
          <w:sz w:val="20"/>
          <w:szCs w:val="20"/>
          <w:lang w:val="en-US"/>
        </w:rPr>
        <w:t>I</w:t>
      </w:r>
      <w:r w:rsidRPr="007C31EC">
        <w:rPr>
          <w:rFonts w:ascii="Arial" w:hAnsi="Arial" w:cs="Arial"/>
          <w:sz w:val="20"/>
          <w:szCs w:val="20"/>
        </w:rPr>
        <w:t xml:space="preserve"> категории финансового состояния "Финансово стабильные кредитные организации", в полном объеме выполнять обязательные резервные требования, не иметь просроченных денежных обязательств перед Банком России, в том числе по кредитам Банка России и процентам по ним.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C31EC">
        <w:rPr>
          <w:rFonts w:ascii="Arial" w:hAnsi="Arial" w:cs="Arial"/>
          <w:sz w:val="20"/>
          <w:szCs w:val="20"/>
        </w:rPr>
        <w:t>Ломбардный список – это перечень ценных бумаг, принимаемых в качестве залогового обеспечения при предоставлении кредитов Банка России. Он утверждается советом директоров Банка России, периодически корректируется и подлежит опубликованию в "Вестнике Банка России". Банки самостоятельно определяют количество и выпуски ценных бумаг, предлагаемых в качестве залогового обеспечения (блокировки).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C31EC">
        <w:rPr>
          <w:rFonts w:ascii="Arial" w:hAnsi="Arial" w:cs="Arial"/>
          <w:sz w:val="20"/>
          <w:szCs w:val="20"/>
        </w:rPr>
        <w:t>Кредиты Банка России предоставляются на корреспондентский счет или корреспондентские субсчета банка, открытые в подразделениях расчетной сети Банка России.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C31EC">
        <w:rPr>
          <w:rFonts w:ascii="Arial" w:hAnsi="Arial" w:cs="Arial"/>
          <w:sz w:val="20"/>
          <w:szCs w:val="20"/>
        </w:rPr>
        <w:t>Внутридневные кредиты и кредиты овернайт являются инструментами оперативного поддержания ликвидности кредитных организаций и тесно связаны между собой.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C31EC">
        <w:rPr>
          <w:rFonts w:ascii="Arial" w:hAnsi="Arial" w:cs="Arial"/>
          <w:sz w:val="20"/>
          <w:szCs w:val="20"/>
        </w:rPr>
        <w:t>Внутридневной кредит – это кредит Банка России, предоставляемый в течение дня работы подразделения расчетной сети Банка России, для оплаты расчетных документов, предъявляемых к корреспондентскому счету банка, в сумме, превышающей остаток денежных средств на этом счете.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C31EC">
        <w:rPr>
          <w:rFonts w:ascii="Arial" w:hAnsi="Arial" w:cs="Arial"/>
          <w:sz w:val="20"/>
          <w:szCs w:val="20"/>
        </w:rPr>
        <w:t>Кредит овернайт предоставляется в конце дня работы подразделения расчетной сети Банка России в сумме непогашенного банком внутридневного кредита и выдается сроком на один рабочий день.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C31EC">
        <w:rPr>
          <w:rFonts w:ascii="Arial" w:hAnsi="Arial" w:cs="Arial"/>
          <w:sz w:val="20"/>
          <w:szCs w:val="20"/>
        </w:rPr>
        <w:t>Предоставление внутридневного кредита в течение дня работы РКЦ может осуществляться многократно, по мере возникновения потребности, погашение происходит автоматически за счет текущих поступлений денежных средств на корреспондентский счет. Однако величина задолженности по внутридневному кредиту в любой момент времени, а также предоставляемый кредит овернайт не должны превышать установленный Банком России лимит.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C31EC">
        <w:rPr>
          <w:rFonts w:ascii="Arial" w:hAnsi="Arial" w:cs="Arial"/>
          <w:sz w:val="20"/>
          <w:szCs w:val="20"/>
        </w:rPr>
        <w:t>За право пользования внутридневными кредитами проценты не взимаются, а устанавливается плата в пользу Банка России в фиксированном размере. В случае непогашения задолженности по внутридневному кредиту по итогам текущего операционного дня банку-заемщику предоставляется кредит овернайт в пределах действующего в этот день лимита. При неисполнении банком обязательств по погашению кредита и уплате процентов по нему в срок отсрочка платежа не производится, и Банк России начинает процедуру реализации находящихся в залоге ценных бумаг.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C31EC">
        <w:rPr>
          <w:rFonts w:ascii="Arial" w:hAnsi="Arial" w:cs="Arial"/>
          <w:sz w:val="20"/>
          <w:szCs w:val="20"/>
        </w:rPr>
        <w:t>Ломбардный кредит – это кредит Банка России, предоставляемый банку по его заявлению на получение ломбардного кредита по фиксированной процентной ставке или по заявке на участие в ломбардном кредитном аукционе.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C31EC">
        <w:rPr>
          <w:rFonts w:ascii="Arial" w:hAnsi="Arial" w:cs="Arial"/>
          <w:sz w:val="20"/>
          <w:szCs w:val="20"/>
        </w:rPr>
        <w:t>Сделки репо используются Банком России в качестве одного из инструментов поддержания ликвидности кредитных организаций. Под сделкой репо понимается двусторонняя сделка по продаже (покупке) облигаций (первая часть сделки репо) с обязательством обратной покупки (продажи) облигаций того же выпуска в том же количестве (вторая часть сделки репо) через определенный условиями такой сделки срок и по определенной условиями такой сделки цене. Предпринимательский интерес сторон репо составляет разница между стоимостью первой и второй части данной операции, которая представляет собой для одной стороны – плату в связи с получением актива, а для другой – доход в связи с предоставлением указанного актива.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C31EC">
        <w:rPr>
          <w:rFonts w:ascii="Arial" w:hAnsi="Arial" w:cs="Arial"/>
          <w:sz w:val="20"/>
          <w:szCs w:val="20"/>
        </w:rPr>
        <w:t>Кредиты рефинансирования предоставляются кредитным организациям – резидентам на срок не более 180 дней. Обеспечением исполнения обязательств банков-заемщиков по кредитам Банка России является залог имущества в виде векселей, или прав требования по кредитным договорам организаций, или поручительство кредитной организации (поручительства кредитных организаций).</w:t>
      </w:r>
    </w:p>
    <w:p w:rsidR="00686742" w:rsidRPr="007C31EC" w:rsidRDefault="00686742" w:rsidP="007C31E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C31EC">
        <w:rPr>
          <w:rFonts w:ascii="Arial" w:hAnsi="Arial" w:cs="Arial"/>
          <w:sz w:val="20"/>
          <w:szCs w:val="20"/>
        </w:rPr>
        <w:t>В целях регулирования банковской ликвидности ЦБ РФ может не только предоставлять кредиты кредитным организациям, но и проводить операции по изъятию избыточной ликвидности у банковского сектора. К таким операциям относятся депозитные операции Банка России, выпуск и размещение облигаций Банка России.</w:t>
      </w:r>
    </w:p>
    <w:p w:rsidR="00686742" w:rsidRPr="007C31EC" w:rsidRDefault="00686742" w:rsidP="007C31EC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86742" w:rsidRPr="007C31EC" w:rsidSect="00C2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463B2"/>
    <w:multiLevelType w:val="hybridMultilevel"/>
    <w:tmpl w:val="CD90C7E0"/>
    <w:lvl w:ilvl="0" w:tplc="82B82EA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F1630AA"/>
    <w:multiLevelType w:val="hybridMultilevel"/>
    <w:tmpl w:val="63EAA016"/>
    <w:lvl w:ilvl="0" w:tplc="0A9C4EF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1EC"/>
    <w:rsid w:val="000811EB"/>
    <w:rsid w:val="004A6669"/>
    <w:rsid w:val="00686742"/>
    <w:rsid w:val="00717CE7"/>
    <w:rsid w:val="007C09B9"/>
    <w:rsid w:val="007C31EC"/>
    <w:rsid w:val="00C252E6"/>
    <w:rsid w:val="00E9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08148-B6CB-4574-96D8-6C34ED17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C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7C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функциональное значение ликвидности банка</vt:lpstr>
    </vt:vector>
  </TitlesOfParts>
  <Company/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функциональное значение ликвидности банка</dc:title>
  <dc:subject/>
  <dc:creator>Пользователь</dc:creator>
  <cp:keywords/>
  <dc:description/>
  <cp:lastModifiedBy>Irina</cp:lastModifiedBy>
  <cp:revision>2</cp:revision>
  <cp:lastPrinted>2011-03-09T16:21:00Z</cp:lastPrinted>
  <dcterms:created xsi:type="dcterms:W3CDTF">2014-08-13T17:37:00Z</dcterms:created>
  <dcterms:modified xsi:type="dcterms:W3CDTF">2014-08-13T17:37:00Z</dcterms:modified>
</cp:coreProperties>
</file>